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3B322" w14:textId="6CDC433F" w:rsidR="006E0147" w:rsidRPr="00544A42" w:rsidRDefault="00544A42">
      <w:pPr>
        <w:rPr>
          <w:b/>
          <w:bCs/>
          <w:lang w:val="en-GB"/>
        </w:rPr>
      </w:pPr>
      <w:r w:rsidRPr="00544A42">
        <w:rPr>
          <w:b/>
          <w:bCs/>
          <w:lang w:val="en-GB"/>
        </w:rPr>
        <w:t>Medication Adherence for People with Acquired Communication Disorders</w:t>
      </w:r>
      <w:r w:rsidR="00430ABD">
        <w:rPr>
          <w:b/>
          <w:bCs/>
          <w:lang w:val="en-GB"/>
        </w:rPr>
        <w:t>: A Systematic Review</w:t>
      </w:r>
    </w:p>
    <w:p w14:paraId="478BDE24" w14:textId="6CAD82C3" w:rsidR="00544A42" w:rsidRDefault="004F6CB9">
      <w:pPr>
        <w:rPr>
          <w:lang w:val="en-GB"/>
        </w:rPr>
      </w:pPr>
      <w:r>
        <w:rPr>
          <w:lang w:val="en-GB"/>
        </w:rPr>
        <w:t>Shauna Bell</w:t>
      </w:r>
      <w:r w:rsidR="00544A42">
        <w:rPr>
          <w:lang w:val="en-GB"/>
        </w:rPr>
        <w:t>, Laura Sahm, Frank Moriarty, Helen Kelly</w:t>
      </w:r>
      <w:r w:rsidR="003C4F8F">
        <w:rPr>
          <w:lang w:val="en-GB"/>
        </w:rPr>
        <w:t>.</w:t>
      </w:r>
    </w:p>
    <w:p w14:paraId="7139F503" w14:textId="77777777" w:rsidR="00EF37CA" w:rsidRDefault="00EF37CA">
      <w:pPr>
        <w:rPr>
          <w:lang w:val="en-GB"/>
        </w:rPr>
      </w:pPr>
    </w:p>
    <w:p w14:paraId="2AE142B1" w14:textId="77777777" w:rsidR="000A65F1" w:rsidRPr="000A65F1" w:rsidRDefault="000A65F1" w:rsidP="00512F64">
      <w:pPr>
        <w:rPr>
          <w:b/>
          <w:bCs/>
          <w:lang w:val="en-GB"/>
        </w:rPr>
      </w:pPr>
      <w:r w:rsidRPr="000A65F1">
        <w:rPr>
          <w:b/>
          <w:bCs/>
          <w:lang w:val="en-GB"/>
        </w:rPr>
        <w:t>Abstract:</w:t>
      </w:r>
    </w:p>
    <w:p w14:paraId="6F33A275" w14:textId="15CB1495" w:rsidR="00512F64" w:rsidRPr="00512F64" w:rsidRDefault="00512F64" w:rsidP="00512F64">
      <w:pPr>
        <w:rPr>
          <w:lang w:val="en-GB"/>
        </w:rPr>
      </w:pPr>
      <w:r w:rsidRPr="00512F64">
        <w:rPr>
          <w:lang w:val="en-GB"/>
        </w:rPr>
        <w:t xml:space="preserve">The aims of the current review were to identify, in the context of people with acquired communication disorders: factors which influence medication adherence, current interventions targeting medication adherence, and how medication adherence is currently measured. This study was conducted and reported in accordance with both PRISMA and SWiM guidelines. Two authors independently screened the results of a literature search, assessed risk of bias, and extracted relevant data. Eight studies were identified for inclusion. Four of the studies presented information relating to current interventions which target medication adherence for people with acquired communication disorders. Four of the studies investigated factors which influence medication adherence for people with acquired communication disorders. Seven of these eight studies outlined methods used for measuring medication adherence. </w:t>
      </w:r>
    </w:p>
    <w:p w14:paraId="5BD5ED28" w14:textId="2AEC46D6" w:rsidR="00EF37CA" w:rsidRDefault="00512F64" w:rsidP="00512F64">
      <w:pPr>
        <w:rPr>
          <w:lang w:val="en-GB"/>
        </w:rPr>
      </w:pPr>
      <w:r w:rsidRPr="00512F64">
        <w:rPr>
          <w:lang w:val="en-GB"/>
        </w:rPr>
        <w:t>The results of this review indicate that patient related factors are most associated with medication non-adherence in a population with acquired communication disorders, followed by socio-economic factors and medication-related factors. Despite the recognised importance of medication adherence, no gold standard of assessment or intervention currently exist for this population. Half of the included studies replaced patients with communication difficulties with caregiver proxies, thus reducing opportunities for patients to participate meaningfully in research. The term “acquired communication disorders” encompasses a range of conditions with diverse aetiologies, presentations, and needs, and future research should be tailored to specific patient groups most at risk of medication non-adherence, namely those with aphasia and cognitive-communication impairments. Patients should be empowered to participate in future research to ensure the literature accurately represents their lived experience.</w:t>
      </w:r>
      <w:r w:rsidR="00EF37CA">
        <w:rPr>
          <w:lang w:val="en-GB"/>
        </w:rPr>
        <w:br w:type="page"/>
      </w:r>
    </w:p>
    <w:p w14:paraId="3B7AFD52" w14:textId="77777777" w:rsidR="00544A42" w:rsidRDefault="00544A42">
      <w:pPr>
        <w:rPr>
          <w:lang w:val="en-GB"/>
        </w:rPr>
      </w:pPr>
    </w:p>
    <w:p w14:paraId="38F80ED1" w14:textId="602FAE39" w:rsidR="00544A42" w:rsidRPr="00E77F0B" w:rsidRDefault="00544A42">
      <w:pPr>
        <w:pStyle w:val="ListParagraph"/>
        <w:numPr>
          <w:ilvl w:val="0"/>
          <w:numId w:val="2"/>
        </w:numPr>
        <w:rPr>
          <w:b/>
          <w:bCs/>
          <w:lang w:val="en-GB"/>
        </w:rPr>
      </w:pPr>
      <w:r w:rsidRPr="00E77F0B">
        <w:rPr>
          <w:b/>
          <w:bCs/>
          <w:lang w:val="en-GB"/>
        </w:rPr>
        <w:t>Background</w:t>
      </w:r>
    </w:p>
    <w:p w14:paraId="58ADC27E" w14:textId="4258D1B8" w:rsidR="006B5D2D" w:rsidRDefault="00F37234">
      <w:pPr>
        <w:rPr>
          <w:lang w:val="en-GB"/>
        </w:rPr>
      </w:pPr>
      <w:r>
        <w:rPr>
          <w:lang w:val="en-GB"/>
        </w:rPr>
        <w:t>Acquired disorders of speech, language, cognitive-</w:t>
      </w:r>
      <w:r w:rsidR="005421FC">
        <w:rPr>
          <w:lang w:val="en-GB"/>
        </w:rPr>
        <w:t>communication,</w:t>
      </w:r>
      <w:r>
        <w:rPr>
          <w:lang w:val="en-GB"/>
        </w:rPr>
        <w:t xml:space="preserve"> and voice are collectively referred to as acquired communication disorders, where the patient displays the loss of a previous capacity to communicate [1].</w:t>
      </w:r>
      <w:r w:rsidR="00BE033B">
        <w:rPr>
          <w:lang w:val="en-GB"/>
        </w:rPr>
        <w:t xml:space="preserve"> The most common neurogenic communication disorders acquired in adulthood include aphasia, apraxia of speech</w:t>
      </w:r>
      <w:r w:rsidR="00A27CE7">
        <w:rPr>
          <w:lang w:val="en-GB"/>
        </w:rPr>
        <w:t xml:space="preserve">, </w:t>
      </w:r>
      <w:r w:rsidR="00BE033B">
        <w:rPr>
          <w:lang w:val="en-GB"/>
        </w:rPr>
        <w:t>dysarthria</w:t>
      </w:r>
      <w:r w:rsidR="00A27CE7">
        <w:rPr>
          <w:lang w:val="en-GB"/>
        </w:rPr>
        <w:t>, and right hemisphere disorder</w:t>
      </w:r>
      <w:r w:rsidR="00BE033B">
        <w:rPr>
          <w:lang w:val="en-GB"/>
        </w:rPr>
        <w:t xml:space="preserve"> [2]</w:t>
      </w:r>
      <w:r w:rsidR="00DA6D4E">
        <w:rPr>
          <w:lang w:val="en-GB"/>
        </w:rPr>
        <w:t xml:space="preserve"> and are typical sequalae of </w:t>
      </w:r>
      <w:r w:rsidR="00DA6D4E" w:rsidRPr="00DA6D4E">
        <w:rPr>
          <w:lang w:val="en-GB"/>
        </w:rPr>
        <w:t>injury, abnormality, or disease</w:t>
      </w:r>
      <w:r w:rsidR="00DA6D4E">
        <w:rPr>
          <w:lang w:val="en-GB"/>
        </w:rPr>
        <w:t xml:space="preserve"> [3]</w:t>
      </w:r>
      <w:r w:rsidR="00667EB7">
        <w:rPr>
          <w:lang w:val="en-GB"/>
        </w:rPr>
        <w:t xml:space="preserve">. </w:t>
      </w:r>
      <w:r w:rsidR="00DA6D4E">
        <w:rPr>
          <w:lang w:val="en-GB"/>
        </w:rPr>
        <w:t xml:space="preserve"> </w:t>
      </w:r>
    </w:p>
    <w:p w14:paraId="1D0B4A25" w14:textId="12A135DA" w:rsidR="006812A3" w:rsidRDefault="00DA6D4E">
      <w:pPr>
        <w:rPr>
          <w:lang w:val="en-GB"/>
        </w:rPr>
      </w:pPr>
      <w:r>
        <w:rPr>
          <w:lang w:val="en-GB"/>
        </w:rPr>
        <w:t>Acute events are major contributors to the incidence of acquired communication disorders</w:t>
      </w:r>
      <w:r w:rsidR="00D2341D">
        <w:rPr>
          <w:lang w:val="en-GB"/>
        </w:rPr>
        <w:t xml:space="preserve"> in </w:t>
      </w:r>
      <w:r w:rsidR="00A27CE7">
        <w:rPr>
          <w:lang w:val="en-GB"/>
        </w:rPr>
        <w:t xml:space="preserve">Europe [4, </w:t>
      </w:r>
      <w:r w:rsidR="00D2602C">
        <w:rPr>
          <w:lang w:val="en-GB"/>
        </w:rPr>
        <w:t>5, 6, 7</w:t>
      </w:r>
      <w:r w:rsidR="00D2341D">
        <w:rPr>
          <w:lang w:val="en-GB"/>
        </w:rPr>
        <w:t>]. In particular, stroke has been identified as the primary contributor to</w:t>
      </w:r>
      <w:r w:rsidR="00682AFB">
        <w:rPr>
          <w:lang w:val="en-GB"/>
        </w:rPr>
        <w:t xml:space="preserve"> incidence of both</w:t>
      </w:r>
      <w:r w:rsidR="00D2341D">
        <w:rPr>
          <w:lang w:val="en-GB"/>
        </w:rPr>
        <w:t xml:space="preserve"> neurological impairment in Ireland </w:t>
      </w:r>
      <w:r w:rsidR="00D2602C">
        <w:rPr>
          <w:lang w:val="en-GB"/>
        </w:rPr>
        <w:t>[8]</w:t>
      </w:r>
      <w:r w:rsidR="00682AFB">
        <w:rPr>
          <w:lang w:val="en-GB"/>
        </w:rPr>
        <w:t>, and overall burden of neurological disorders in the E</w:t>
      </w:r>
      <w:r w:rsidR="00FF63E7">
        <w:rPr>
          <w:lang w:val="en-GB"/>
        </w:rPr>
        <w:t xml:space="preserve">uropean </w:t>
      </w:r>
      <w:r w:rsidR="00682AFB">
        <w:rPr>
          <w:lang w:val="en-GB"/>
        </w:rPr>
        <w:t>U</w:t>
      </w:r>
      <w:r w:rsidR="00FF63E7">
        <w:rPr>
          <w:lang w:val="en-GB"/>
        </w:rPr>
        <w:t xml:space="preserve">nion </w:t>
      </w:r>
      <w:r w:rsidR="00D52450">
        <w:rPr>
          <w:lang w:val="en-GB"/>
        </w:rPr>
        <w:t>(</w:t>
      </w:r>
      <w:r w:rsidR="00FF63E7">
        <w:rPr>
          <w:lang w:val="en-GB"/>
        </w:rPr>
        <w:t>EU</w:t>
      </w:r>
      <w:r w:rsidR="00D52450">
        <w:rPr>
          <w:lang w:val="en-GB"/>
        </w:rPr>
        <w:t>)</w:t>
      </w:r>
      <w:r w:rsidR="00682AFB">
        <w:rPr>
          <w:lang w:val="en-GB"/>
        </w:rPr>
        <w:t xml:space="preserve"> and U</w:t>
      </w:r>
      <w:r w:rsidR="00FF63E7">
        <w:rPr>
          <w:lang w:val="en-GB"/>
        </w:rPr>
        <w:t xml:space="preserve">nited </w:t>
      </w:r>
      <w:r w:rsidR="00682AFB">
        <w:rPr>
          <w:lang w:val="en-GB"/>
        </w:rPr>
        <w:t>K</w:t>
      </w:r>
      <w:r w:rsidR="00FF63E7">
        <w:rPr>
          <w:lang w:val="en-GB"/>
        </w:rPr>
        <w:t>ingdom</w:t>
      </w:r>
      <w:r w:rsidR="00D52450">
        <w:rPr>
          <w:lang w:val="en-GB"/>
        </w:rPr>
        <w:t xml:space="preserve"> (UK)</w:t>
      </w:r>
      <w:r w:rsidR="00682AFB">
        <w:rPr>
          <w:lang w:val="en-GB"/>
        </w:rPr>
        <w:t xml:space="preserve"> [9]</w:t>
      </w:r>
      <w:r w:rsidR="00935522">
        <w:rPr>
          <w:lang w:val="en-GB"/>
        </w:rPr>
        <w:t xml:space="preserve">. </w:t>
      </w:r>
      <w:r w:rsidR="006B5D2D">
        <w:rPr>
          <w:lang w:val="en-GB"/>
        </w:rPr>
        <w:t>Similarly, dementia has been identified as the second leading cause of neurogenic disability in the EU, while neurodegenerative disorders such as Parkinson’s Disease, Motor Neuron</w:t>
      </w:r>
      <w:r w:rsidR="00FA5EC9">
        <w:rPr>
          <w:lang w:val="en-GB"/>
        </w:rPr>
        <w:t>e</w:t>
      </w:r>
      <w:r w:rsidR="006B5D2D">
        <w:rPr>
          <w:lang w:val="en-GB"/>
        </w:rPr>
        <w:t xml:space="preserve"> Disease and Multiple Sclerosis make up a collective 8% of overall </w:t>
      </w:r>
      <w:r w:rsidR="000837E8">
        <w:rPr>
          <w:lang w:val="en-GB"/>
        </w:rPr>
        <w:t>neurologic disability</w:t>
      </w:r>
      <w:r w:rsidR="006B5D2D">
        <w:rPr>
          <w:lang w:val="en-GB"/>
        </w:rPr>
        <w:t xml:space="preserve"> in western Europe [9]. </w:t>
      </w:r>
    </w:p>
    <w:p w14:paraId="3D5CC73A" w14:textId="544CD6F3" w:rsidR="00B42D4D" w:rsidRDefault="3B0A7662">
      <w:pPr>
        <w:rPr>
          <w:lang w:val="en-GB"/>
        </w:rPr>
      </w:pPr>
      <w:r w:rsidRPr="141E890C">
        <w:rPr>
          <w:lang w:val="en-GB"/>
        </w:rPr>
        <w:t xml:space="preserve">Pharmacological interventions play a central role in the management and treatment of these </w:t>
      </w:r>
      <w:r w:rsidR="350C8279" w:rsidRPr="141E890C">
        <w:rPr>
          <w:lang w:val="en-GB"/>
        </w:rPr>
        <w:t>conditions</w:t>
      </w:r>
      <w:r w:rsidRPr="141E890C">
        <w:rPr>
          <w:lang w:val="en-GB"/>
        </w:rPr>
        <w:t xml:space="preserve">. </w:t>
      </w:r>
      <w:r w:rsidR="4FACA796" w:rsidRPr="141E890C">
        <w:rPr>
          <w:lang w:val="en-GB"/>
        </w:rPr>
        <w:t xml:space="preserve">Antiplatelets, </w:t>
      </w:r>
      <w:r w:rsidR="689A379C" w:rsidRPr="141E890C">
        <w:rPr>
          <w:lang w:val="en-GB"/>
        </w:rPr>
        <w:t>anticoagulants</w:t>
      </w:r>
      <w:r w:rsidR="4FACA796" w:rsidRPr="141E890C">
        <w:rPr>
          <w:lang w:val="en-GB"/>
        </w:rPr>
        <w:t xml:space="preserve">, antihypertensives and lipid-lowering medications such as statins are </w:t>
      </w:r>
      <w:r w:rsidR="7E65BC70" w:rsidRPr="141E890C">
        <w:rPr>
          <w:lang w:val="en-GB"/>
        </w:rPr>
        <w:t>recommended to</w:t>
      </w:r>
      <w:r w:rsidR="4FACA796" w:rsidRPr="141E890C">
        <w:rPr>
          <w:lang w:val="en-GB"/>
        </w:rPr>
        <w:t xml:space="preserve"> </w:t>
      </w:r>
      <w:r w:rsidR="00903CDB">
        <w:rPr>
          <w:lang w:val="en-GB"/>
        </w:rPr>
        <w:t>reduce the risk of</w:t>
      </w:r>
      <w:r w:rsidR="00903CDB" w:rsidRPr="141E890C">
        <w:rPr>
          <w:lang w:val="en-GB"/>
        </w:rPr>
        <w:t xml:space="preserve"> </w:t>
      </w:r>
      <w:r w:rsidR="4FACA796" w:rsidRPr="141E890C">
        <w:rPr>
          <w:lang w:val="en-GB"/>
        </w:rPr>
        <w:t>recurrent stroke</w:t>
      </w:r>
      <w:r w:rsidR="6359060F" w:rsidRPr="141E890C">
        <w:rPr>
          <w:lang w:val="en-GB"/>
        </w:rPr>
        <w:t xml:space="preserve"> or transient ischemic attack</w:t>
      </w:r>
      <w:r w:rsidR="350C8279" w:rsidRPr="141E890C">
        <w:rPr>
          <w:lang w:val="en-GB"/>
        </w:rPr>
        <w:t xml:space="preserve"> [1</w:t>
      </w:r>
      <w:r w:rsidR="7E65BC70" w:rsidRPr="141E890C">
        <w:rPr>
          <w:lang w:val="en-GB"/>
        </w:rPr>
        <w:t>0</w:t>
      </w:r>
      <w:r w:rsidR="350C8279" w:rsidRPr="141E890C">
        <w:rPr>
          <w:lang w:val="en-GB"/>
        </w:rPr>
        <w:t>]</w:t>
      </w:r>
      <w:r w:rsidR="4FACA796" w:rsidRPr="141E890C">
        <w:rPr>
          <w:lang w:val="en-GB"/>
        </w:rPr>
        <w:t xml:space="preserve">. </w:t>
      </w:r>
      <w:r w:rsidR="03578D59" w:rsidRPr="141E890C">
        <w:rPr>
          <w:lang w:val="en-GB"/>
        </w:rPr>
        <w:t xml:space="preserve">The National Institute for Health and Care Excellence recommends cholinesterase inhibitors and memantine be used in the management of most dementias, often in conjunction with pharmacological treatment of non-cognitive symptoms such as </w:t>
      </w:r>
      <w:r w:rsidR="6359060F" w:rsidRPr="141E890C">
        <w:rPr>
          <w:lang w:val="en-GB"/>
        </w:rPr>
        <w:t xml:space="preserve">depression, anxiety, and sleep problems [11]. </w:t>
      </w:r>
      <w:r w:rsidR="017A5495" w:rsidRPr="141E890C">
        <w:rPr>
          <w:lang w:val="en-GB"/>
        </w:rPr>
        <w:t>Pharmaceutical</w:t>
      </w:r>
      <w:r w:rsidR="2F473C00" w:rsidRPr="141E890C">
        <w:rPr>
          <w:lang w:val="en-GB"/>
        </w:rPr>
        <w:t xml:space="preserve"> care in</w:t>
      </w:r>
      <w:r w:rsidR="2802F918" w:rsidRPr="141E890C">
        <w:rPr>
          <w:lang w:val="en-GB"/>
        </w:rPr>
        <w:t xml:space="preserve"> neurodegenerative disorders</w:t>
      </w:r>
      <w:r w:rsidR="66A01482" w:rsidRPr="141E890C">
        <w:rPr>
          <w:lang w:val="en-GB"/>
        </w:rPr>
        <w:t xml:space="preserve"> focuses </w:t>
      </w:r>
      <w:r w:rsidR="2D051BA7" w:rsidRPr="141E890C">
        <w:rPr>
          <w:lang w:val="en-GB"/>
        </w:rPr>
        <w:t xml:space="preserve">largely </w:t>
      </w:r>
      <w:r w:rsidR="66A01482" w:rsidRPr="141E890C">
        <w:rPr>
          <w:lang w:val="en-GB"/>
        </w:rPr>
        <w:t xml:space="preserve">on </w:t>
      </w:r>
      <w:r w:rsidR="565F7469" w:rsidRPr="141E890C">
        <w:rPr>
          <w:lang w:val="en-GB"/>
        </w:rPr>
        <w:t>symptomatic management</w:t>
      </w:r>
      <w:r w:rsidR="103E3D92" w:rsidRPr="141E890C">
        <w:rPr>
          <w:lang w:val="en-GB"/>
        </w:rPr>
        <w:t xml:space="preserve"> [12]</w:t>
      </w:r>
      <w:r w:rsidR="565F7469" w:rsidRPr="141E890C">
        <w:rPr>
          <w:lang w:val="en-GB"/>
        </w:rPr>
        <w:t>, with</w:t>
      </w:r>
      <w:r w:rsidR="345D1A68" w:rsidRPr="141E890C">
        <w:rPr>
          <w:lang w:val="en-GB"/>
        </w:rPr>
        <w:t xml:space="preserve"> an estimated 7</w:t>
      </w:r>
      <w:r w:rsidR="7737D7FA" w:rsidRPr="141E890C">
        <w:rPr>
          <w:lang w:val="en-GB"/>
        </w:rPr>
        <w:t>8</w:t>
      </w:r>
      <w:r w:rsidR="345D1A68" w:rsidRPr="141E890C">
        <w:rPr>
          <w:lang w:val="en-GB"/>
        </w:rPr>
        <w:t>%</w:t>
      </w:r>
      <w:r w:rsidR="7737D7FA" w:rsidRPr="141E890C">
        <w:rPr>
          <w:lang w:val="en-GB"/>
        </w:rPr>
        <w:t xml:space="preserve"> </w:t>
      </w:r>
      <w:r w:rsidR="103E3D92" w:rsidRPr="141E890C">
        <w:rPr>
          <w:lang w:val="en-GB"/>
        </w:rPr>
        <w:t xml:space="preserve">of </w:t>
      </w:r>
      <w:r w:rsidR="188DA508" w:rsidRPr="141E890C">
        <w:rPr>
          <w:lang w:val="en-GB"/>
        </w:rPr>
        <w:t>newly diagnosed</w:t>
      </w:r>
      <w:r w:rsidR="345D1A68" w:rsidRPr="141E890C">
        <w:rPr>
          <w:lang w:val="en-GB"/>
        </w:rPr>
        <w:t xml:space="preserve"> patients</w:t>
      </w:r>
      <w:r w:rsidR="00214D7D">
        <w:rPr>
          <w:lang w:val="en-GB"/>
        </w:rPr>
        <w:t xml:space="preserve"> with Parkinson’s disease</w:t>
      </w:r>
      <w:r w:rsidR="345D1A68" w:rsidRPr="141E890C">
        <w:rPr>
          <w:lang w:val="en-GB"/>
        </w:rPr>
        <w:t xml:space="preserve"> </w:t>
      </w:r>
      <w:r w:rsidR="103E3D92" w:rsidRPr="141E890C">
        <w:rPr>
          <w:lang w:val="en-GB"/>
        </w:rPr>
        <w:t>receiving pharmaceutical management in the UK [13</w:t>
      </w:r>
      <w:r w:rsidR="1BF832CA" w:rsidRPr="141E890C">
        <w:rPr>
          <w:lang w:val="en-GB"/>
        </w:rPr>
        <w:t>]</w:t>
      </w:r>
      <w:r w:rsidR="71113278" w:rsidRPr="141E890C">
        <w:rPr>
          <w:lang w:val="en-GB"/>
        </w:rPr>
        <w:t xml:space="preserve">. This symptomatic approach to </w:t>
      </w:r>
      <w:r w:rsidR="00914B7E">
        <w:rPr>
          <w:lang w:val="en-GB"/>
        </w:rPr>
        <w:t xml:space="preserve">the </w:t>
      </w:r>
      <w:r w:rsidR="71113278" w:rsidRPr="141E890C">
        <w:rPr>
          <w:lang w:val="en-GB"/>
        </w:rPr>
        <w:t>management of neurodegeneration often results in polypharmacy, with</w:t>
      </w:r>
      <w:r w:rsidR="54284A76" w:rsidRPr="141E890C">
        <w:rPr>
          <w:lang w:val="en-GB"/>
        </w:rPr>
        <w:t xml:space="preserve"> one in four people diagnosed with M</w:t>
      </w:r>
      <w:r w:rsidR="71113278" w:rsidRPr="141E890C">
        <w:rPr>
          <w:lang w:val="en-GB"/>
        </w:rPr>
        <w:t xml:space="preserve">ultiple </w:t>
      </w:r>
      <w:r w:rsidR="54284A76" w:rsidRPr="141E890C">
        <w:rPr>
          <w:lang w:val="en-GB"/>
        </w:rPr>
        <w:t>S</w:t>
      </w:r>
      <w:r w:rsidR="71113278" w:rsidRPr="141E890C">
        <w:rPr>
          <w:lang w:val="en-GB"/>
        </w:rPr>
        <w:t>clerosis</w:t>
      </w:r>
      <w:r w:rsidR="54284A76" w:rsidRPr="141E890C">
        <w:rPr>
          <w:lang w:val="en-GB"/>
        </w:rPr>
        <w:t xml:space="preserve"> </w:t>
      </w:r>
      <w:r w:rsidR="6E9B5C79" w:rsidRPr="141E890C">
        <w:rPr>
          <w:lang w:val="en-GB"/>
        </w:rPr>
        <w:t>routinely taking five or more medications concurrently [14]</w:t>
      </w:r>
      <w:r w:rsidR="4006DD6F" w:rsidRPr="141E890C">
        <w:rPr>
          <w:lang w:val="en-GB"/>
        </w:rPr>
        <w:t xml:space="preserve">. </w:t>
      </w:r>
    </w:p>
    <w:p w14:paraId="7C2E7676" w14:textId="6BB85388" w:rsidR="00903CDB" w:rsidRDefault="3B0A7662">
      <w:pPr>
        <w:rPr>
          <w:lang w:val="en-GB"/>
        </w:rPr>
      </w:pPr>
      <w:r w:rsidRPr="141E890C">
        <w:rPr>
          <w:lang w:val="en-GB"/>
        </w:rPr>
        <w:t xml:space="preserve">However, </w:t>
      </w:r>
      <w:r w:rsidR="7CA8238B" w:rsidRPr="141E890C">
        <w:rPr>
          <w:lang w:val="en-GB"/>
        </w:rPr>
        <w:t>non-adherence has been pinpointed as the most prevalent medication-related issue among patients with chronic conditions [</w:t>
      </w:r>
      <w:r w:rsidR="5BDC7F94" w:rsidRPr="141E890C">
        <w:rPr>
          <w:lang w:val="en-GB"/>
        </w:rPr>
        <w:t xml:space="preserve">15]. </w:t>
      </w:r>
      <w:r w:rsidR="52572700" w:rsidRPr="141E890C">
        <w:rPr>
          <w:lang w:val="en-GB"/>
        </w:rPr>
        <w:t xml:space="preserve">Within the </w:t>
      </w:r>
      <w:r w:rsidR="343C37D0" w:rsidRPr="141E890C">
        <w:rPr>
          <w:lang w:val="en-GB"/>
        </w:rPr>
        <w:t>EU</w:t>
      </w:r>
      <w:r w:rsidR="52572700" w:rsidRPr="141E890C">
        <w:rPr>
          <w:lang w:val="en-GB"/>
        </w:rPr>
        <w:t xml:space="preserve">, medication non-adherence is associated with almost 200,000 deaths </w:t>
      </w:r>
      <w:r w:rsidR="50DAB550" w:rsidRPr="141E890C">
        <w:rPr>
          <w:lang w:val="en-GB"/>
        </w:rPr>
        <w:t>per annum</w:t>
      </w:r>
      <w:r w:rsidR="042FE212" w:rsidRPr="141E890C">
        <w:rPr>
          <w:lang w:val="en-GB"/>
        </w:rPr>
        <w:t xml:space="preserve">, and </w:t>
      </w:r>
      <w:r w:rsidR="52572700" w:rsidRPr="141E890C">
        <w:rPr>
          <w:lang w:val="en-GB"/>
        </w:rPr>
        <w:t xml:space="preserve">€80–€125 billion of potentially preventable </w:t>
      </w:r>
      <w:r w:rsidR="5177C697" w:rsidRPr="141E890C">
        <w:rPr>
          <w:lang w:val="en-GB"/>
        </w:rPr>
        <w:t xml:space="preserve">costs </w:t>
      </w:r>
      <w:r w:rsidR="50DAB550" w:rsidRPr="141E890C">
        <w:rPr>
          <w:lang w:val="en-GB"/>
        </w:rPr>
        <w:t>[16].</w:t>
      </w:r>
      <w:r w:rsidR="51119F39" w:rsidRPr="141E890C">
        <w:rPr>
          <w:lang w:val="en-GB"/>
        </w:rPr>
        <w:t xml:space="preserve"> Non-adherence is a complex</w:t>
      </w:r>
      <w:r w:rsidR="0E473FD5" w:rsidRPr="141E890C">
        <w:rPr>
          <w:lang w:val="en-GB"/>
        </w:rPr>
        <w:t xml:space="preserve"> issue, for which there may be a </w:t>
      </w:r>
      <w:r w:rsidR="00140E09">
        <w:rPr>
          <w:lang w:val="en-GB"/>
        </w:rPr>
        <w:t>range</w:t>
      </w:r>
      <w:r w:rsidR="00140E09" w:rsidRPr="141E890C">
        <w:rPr>
          <w:lang w:val="en-GB"/>
        </w:rPr>
        <w:t xml:space="preserve"> </w:t>
      </w:r>
      <w:r w:rsidR="0E473FD5" w:rsidRPr="141E890C">
        <w:rPr>
          <w:lang w:val="en-GB"/>
        </w:rPr>
        <w:t>of causes and influencing factors [17]</w:t>
      </w:r>
      <w:r w:rsidR="185FAAEE" w:rsidRPr="141E890C">
        <w:rPr>
          <w:lang w:val="en-GB"/>
        </w:rPr>
        <w:t>.</w:t>
      </w:r>
      <w:r w:rsidR="52572700" w:rsidRPr="141E890C">
        <w:rPr>
          <w:lang w:val="en-GB"/>
        </w:rPr>
        <w:t xml:space="preserve"> For adults with chronic, non-communicable conditions, patient-related factors such as poor health literacy were cited as</w:t>
      </w:r>
      <w:r w:rsidR="21D6D13F" w:rsidRPr="141E890C">
        <w:rPr>
          <w:lang w:val="en-GB"/>
        </w:rPr>
        <w:t xml:space="preserve"> the</w:t>
      </w:r>
      <w:r w:rsidR="52572700" w:rsidRPr="141E890C">
        <w:rPr>
          <w:lang w:val="en-GB"/>
        </w:rPr>
        <w:t xml:space="preserve"> most common indicators of medication taking behaviour </w:t>
      </w:r>
      <w:r w:rsidR="12F18013" w:rsidRPr="141E890C">
        <w:rPr>
          <w:lang w:val="en-GB"/>
        </w:rPr>
        <w:t>[1</w:t>
      </w:r>
      <w:r w:rsidR="0E473FD5" w:rsidRPr="141E890C">
        <w:rPr>
          <w:lang w:val="en-GB"/>
        </w:rPr>
        <w:t>8</w:t>
      </w:r>
      <w:r w:rsidR="12F18013" w:rsidRPr="141E890C">
        <w:rPr>
          <w:lang w:val="en-GB"/>
        </w:rPr>
        <w:t xml:space="preserve">]. </w:t>
      </w:r>
      <w:r w:rsidR="76D18938" w:rsidRPr="141E890C">
        <w:rPr>
          <w:lang w:val="en-GB"/>
        </w:rPr>
        <w:t>H</w:t>
      </w:r>
      <w:r w:rsidR="7F2F0CF0" w:rsidRPr="141E890C">
        <w:rPr>
          <w:lang w:val="en-GB"/>
        </w:rPr>
        <w:t xml:space="preserve">ealth literacy has been positively associated with increased medication adherence </w:t>
      </w:r>
      <w:r w:rsidR="5E3BCC6E" w:rsidRPr="141E890C">
        <w:rPr>
          <w:lang w:val="en-GB"/>
        </w:rPr>
        <w:t>[1</w:t>
      </w:r>
      <w:r w:rsidR="0E473FD5" w:rsidRPr="141E890C">
        <w:rPr>
          <w:lang w:val="en-GB"/>
        </w:rPr>
        <w:t>9</w:t>
      </w:r>
      <w:r w:rsidR="5E3BCC6E" w:rsidRPr="141E890C">
        <w:rPr>
          <w:lang w:val="en-GB"/>
        </w:rPr>
        <w:t xml:space="preserve">]. </w:t>
      </w:r>
      <w:r w:rsidR="00903CDB">
        <w:rPr>
          <w:lang w:val="en-GB"/>
        </w:rPr>
        <w:t xml:space="preserve">A diagnosis of an acquired communication disorder has been associated with lower health literacy [20]. </w:t>
      </w:r>
      <w:r w:rsidR="00903CDB" w:rsidRPr="141E890C">
        <w:rPr>
          <w:lang w:val="en-GB"/>
        </w:rPr>
        <w:t>Therefore, patients with an acquired communication disorder as a result of stroke or neurodegenerative disease are at a higher risk of medication non-adherence.</w:t>
      </w:r>
      <w:r w:rsidR="00B5118C">
        <w:rPr>
          <w:lang w:val="en-GB"/>
        </w:rPr>
        <w:t xml:space="preserve"> </w:t>
      </w:r>
      <w:r w:rsidR="006822FF">
        <w:rPr>
          <w:lang w:val="en-GB"/>
        </w:rPr>
        <w:t xml:space="preserve">Particular skills </w:t>
      </w:r>
      <w:r w:rsidR="00B5118C">
        <w:rPr>
          <w:lang w:val="en-GB"/>
        </w:rPr>
        <w:t>such as reading comprehension, word recognition, composition, grammar</w:t>
      </w:r>
      <w:r w:rsidR="006822FF">
        <w:rPr>
          <w:lang w:val="en-GB"/>
        </w:rPr>
        <w:t>, and</w:t>
      </w:r>
      <w:r w:rsidR="00B5118C">
        <w:rPr>
          <w:lang w:val="en-GB"/>
        </w:rPr>
        <w:t xml:space="preserve"> punctuation are central</w:t>
      </w:r>
      <w:r w:rsidR="006822FF">
        <w:rPr>
          <w:lang w:val="en-GB"/>
        </w:rPr>
        <w:t xml:space="preserve"> to effective literacy [41], placing those with language disorders such as aphasia, acquired dyslexia, and acquired dysgraphia at higher risk of non-adherence than those diagnosed with motor speech or voice disorders. </w:t>
      </w:r>
    </w:p>
    <w:p w14:paraId="253452B9" w14:textId="7BDC51C4" w:rsidR="00E720A4" w:rsidRPr="003362A3" w:rsidRDefault="49C7A37C">
      <w:pPr>
        <w:rPr>
          <w:lang w:val="en-GB"/>
        </w:rPr>
      </w:pPr>
      <w:r w:rsidRPr="141E890C">
        <w:rPr>
          <w:lang w:val="en-GB"/>
        </w:rPr>
        <w:t>Despite this,</w:t>
      </w:r>
      <w:r w:rsidR="6987E013" w:rsidRPr="141E890C">
        <w:rPr>
          <w:lang w:val="en-GB"/>
        </w:rPr>
        <w:t xml:space="preserve"> populations with acquired communication disorders have often been excluded from research </w:t>
      </w:r>
      <w:r w:rsidR="00ED4D8A">
        <w:rPr>
          <w:lang w:val="en-GB"/>
        </w:rPr>
        <w:t>due to their intrinsic he</w:t>
      </w:r>
      <w:r w:rsidR="00DB7C62">
        <w:rPr>
          <w:lang w:val="en-GB"/>
        </w:rPr>
        <w:t>terogeneity</w:t>
      </w:r>
      <w:r w:rsidR="2BD3350F" w:rsidRPr="141E890C">
        <w:rPr>
          <w:lang w:val="en-GB"/>
        </w:rPr>
        <w:t xml:space="preserve"> </w:t>
      </w:r>
      <w:r w:rsidR="012CA266" w:rsidRPr="141E890C">
        <w:rPr>
          <w:lang w:val="en-GB"/>
        </w:rPr>
        <w:t>[2</w:t>
      </w:r>
      <w:r w:rsidR="0E473FD5" w:rsidRPr="141E890C">
        <w:rPr>
          <w:lang w:val="en-GB"/>
        </w:rPr>
        <w:t>1</w:t>
      </w:r>
      <w:r w:rsidR="012CA266" w:rsidRPr="141E890C">
        <w:rPr>
          <w:lang w:val="en-GB"/>
        </w:rPr>
        <w:t>]</w:t>
      </w:r>
      <w:r w:rsidR="6987E013" w:rsidRPr="141E890C">
        <w:rPr>
          <w:lang w:val="en-GB"/>
        </w:rPr>
        <w:t>.</w:t>
      </w:r>
      <w:r w:rsidR="4ED339FB" w:rsidRPr="141E890C">
        <w:rPr>
          <w:lang w:val="en-GB"/>
        </w:rPr>
        <w:t xml:space="preserve"> As medication adherence </w:t>
      </w:r>
      <w:r w:rsidR="7C40873A" w:rsidRPr="141E890C">
        <w:rPr>
          <w:lang w:val="en-GB"/>
        </w:rPr>
        <w:t xml:space="preserve">is a multifactorial phenomenon, </w:t>
      </w:r>
      <w:r w:rsidR="7A3570B2" w:rsidRPr="141E890C">
        <w:rPr>
          <w:lang w:val="en-GB"/>
        </w:rPr>
        <w:t xml:space="preserve">the dearth of literature </w:t>
      </w:r>
      <w:r w:rsidR="3EFB1859" w:rsidRPr="141E890C">
        <w:rPr>
          <w:lang w:val="en-GB"/>
        </w:rPr>
        <w:t>specific to those</w:t>
      </w:r>
      <w:r w:rsidR="7A3570B2" w:rsidRPr="141E890C">
        <w:rPr>
          <w:lang w:val="en-GB"/>
        </w:rPr>
        <w:t xml:space="preserve"> with acquired communication disorders may mak</w:t>
      </w:r>
      <w:r w:rsidR="3EFB1859" w:rsidRPr="141E890C">
        <w:rPr>
          <w:lang w:val="en-GB"/>
        </w:rPr>
        <w:t>e it difficult for clinicians and researchers</w:t>
      </w:r>
      <w:r w:rsidR="1A9F6A9A" w:rsidRPr="141E890C">
        <w:rPr>
          <w:lang w:val="en-GB"/>
        </w:rPr>
        <w:t xml:space="preserve"> </w:t>
      </w:r>
      <w:r w:rsidR="3EFB1859" w:rsidRPr="141E890C">
        <w:rPr>
          <w:lang w:val="en-GB"/>
        </w:rPr>
        <w:t>to gain a</w:t>
      </w:r>
      <w:r w:rsidR="2975322B" w:rsidRPr="141E890C">
        <w:rPr>
          <w:lang w:val="en-GB"/>
        </w:rPr>
        <w:t xml:space="preserve"> comprehensive picture of the current evidence [17]. </w:t>
      </w:r>
      <w:r w:rsidR="1CE89A3F" w:rsidRPr="141E890C">
        <w:rPr>
          <w:lang w:val="en-GB"/>
        </w:rPr>
        <w:t>T</w:t>
      </w:r>
      <w:r w:rsidR="1A9F6A9A" w:rsidRPr="141E890C">
        <w:rPr>
          <w:lang w:val="en-GB"/>
        </w:rPr>
        <w:t>he inconsistency, interchangeability</w:t>
      </w:r>
      <w:r w:rsidR="58B4CF7B" w:rsidRPr="141E890C">
        <w:rPr>
          <w:lang w:val="en-GB"/>
        </w:rPr>
        <w:t xml:space="preserve"> and diversity</w:t>
      </w:r>
      <w:r w:rsidR="1A9F6A9A" w:rsidRPr="141E890C">
        <w:rPr>
          <w:lang w:val="en-GB"/>
        </w:rPr>
        <w:t xml:space="preserve"> of terms used in the literature describing acquired communication disorders </w:t>
      </w:r>
      <w:r w:rsidR="3C3C04D9" w:rsidRPr="141E890C">
        <w:rPr>
          <w:lang w:val="en-GB"/>
        </w:rPr>
        <w:t>pose an additional challenge in identifying</w:t>
      </w:r>
      <w:r w:rsidR="47C56D92" w:rsidRPr="141E890C">
        <w:rPr>
          <w:lang w:val="en-GB"/>
        </w:rPr>
        <w:t xml:space="preserve"> the</w:t>
      </w:r>
      <w:r w:rsidR="3C3C04D9" w:rsidRPr="141E890C">
        <w:rPr>
          <w:lang w:val="en-GB"/>
        </w:rPr>
        <w:t xml:space="preserve"> </w:t>
      </w:r>
      <w:r w:rsidR="1CE89A3F" w:rsidRPr="141E890C">
        <w:rPr>
          <w:lang w:val="en-GB"/>
        </w:rPr>
        <w:lastRenderedPageBreak/>
        <w:t xml:space="preserve">research </w:t>
      </w:r>
      <w:r w:rsidR="47C56D92" w:rsidRPr="141E890C">
        <w:rPr>
          <w:lang w:val="en-GB"/>
        </w:rPr>
        <w:t>that has included this underrepresented cohort</w:t>
      </w:r>
      <w:r w:rsidR="7F03343E" w:rsidRPr="141E890C">
        <w:rPr>
          <w:lang w:val="en-GB"/>
        </w:rPr>
        <w:t xml:space="preserve"> [2</w:t>
      </w:r>
      <w:r w:rsidR="0E473FD5" w:rsidRPr="141E890C">
        <w:rPr>
          <w:lang w:val="en-GB"/>
        </w:rPr>
        <w:t>2</w:t>
      </w:r>
      <w:r w:rsidR="7F03343E" w:rsidRPr="141E890C">
        <w:rPr>
          <w:lang w:val="en-GB"/>
        </w:rPr>
        <w:t>]</w:t>
      </w:r>
      <w:r w:rsidR="47C56D92" w:rsidRPr="141E890C">
        <w:rPr>
          <w:lang w:val="en-GB"/>
        </w:rPr>
        <w:t>.</w:t>
      </w:r>
      <w:r w:rsidR="7F03343E" w:rsidRPr="141E890C">
        <w:rPr>
          <w:lang w:val="en-GB"/>
        </w:rPr>
        <w:t xml:space="preserve"> </w:t>
      </w:r>
      <w:r w:rsidR="6987E013" w:rsidRPr="141E890C">
        <w:rPr>
          <w:lang w:val="en-GB"/>
        </w:rPr>
        <w:t xml:space="preserve">Therefore, this review aims to characterise the literature relating to </w:t>
      </w:r>
      <w:r w:rsidR="3DBAC9CF" w:rsidRPr="141E890C">
        <w:rPr>
          <w:lang w:val="en-GB"/>
        </w:rPr>
        <w:t xml:space="preserve">factors influencing </w:t>
      </w:r>
      <w:r w:rsidR="6987E013" w:rsidRPr="141E890C">
        <w:rPr>
          <w:lang w:val="en-GB"/>
        </w:rPr>
        <w:t>medication adherence</w:t>
      </w:r>
      <w:r w:rsidR="06946ED5" w:rsidRPr="141E890C">
        <w:rPr>
          <w:lang w:val="en-GB"/>
        </w:rPr>
        <w:t xml:space="preserve"> for people with acquired communication disorders</w:t>
      </w:r>
      <w:r w:rsidR="7B0398F2" w:rsidRPr="141E890C">
        <w:rPr>
          <w:lang w:val="en-GB"/>
        </w:rPr>
        <w:t xml:space="preserve"> </w:t>
      </w:r>
      <w:r w:rsidR="38645EED" w:rsidRPr="141E890C">
        <w:rPr>
          <w:lang w:val="en-GB"/>
        </w:rPr>
        <w:t>via the following objectives:</w:t>
      </w:r>
    </w:p>
    <w:p w14:paraId="50A69403" w14:textId="254D7F08" w:rsidR="00200E96" w:rsidRPr="009347F4" w:rsidRDefault="001F3D69">
      <w:pPr>
        <w:pStyle w:val="ListParagraph"/>
        <w:numPr>
          <w:ilvl w:val="0"/>
          <w:numId w:val="1"/>
        </w:numPr>
        <w:rPr>
          <w:lang w:val="en-GB"/>
        </w:rPr>
      </w:pPr>
      <w:r w:rsidRPr="009347F4">
        <w:rPr>
          <w:lang w:val="en-GB"/>
        </w:rPr>
        <w:t>To identify the</w:t>
      </w:r>
      <w:r w:rsidR="00200E96" w:rsidRPr="009347F4">
        <w:rPr>
          <w:lang w:val="en-GB"/>
        </w:rPr>
        <w:t xml:space="preserve"> factors which influence medication adherence for people with acquired communication disorders</w:t>
      </w:r>
      <w:r w:rsidR="009347F4" w:rsidRPr="009347F4">
        <w:rPr>
          <w:lang w:val="en-GB"/>
        </w:rPr>
        <w:t>;</w:t>
      </w:r>
    </w:p>
    <w:p w14:paraId="25076D5B" w14:textId="290F2E2C" w:rsidR="00200E96" w:rsidRPr="009347F4" w:rsidRDefault="001F3D69">
      <w:pPr>
        <w:pStyle w:val="ListParagraph"/>
        <w:numPr>
          <w:ilvl w:val="0"/>
          <w:numId w:val="1"/>
        </w:numPr>
        <w:rPr>
          <w:lang w:val="en-GB"/>
        </w:rPr>
      </w:pPr>
      <w:r w:rsidRPr="009347F4">
        <w:rPr>
          <w:lang w:val="en-GB"/>
        </w:rPr>
        <w:t>To identify</w:t>
      </w:r>
      <w:r w:rsidR="00200E96" w:rsidRPr="009347F4">
        <w:rPr>
          <w:lang w:val="en-GB"/>
        </w:rPr>
        <w:t xml:space="preserve"> the current interventions which target medication adherence for people with acquired communication disorders</w:t>
      </w:r>
      <w:r w:rsidR="009347F4" w:rsidRPr="009347F4">
        <w:rPr>
          <w:lang w:val="en-GB"/>
        </w:rPr>
        <w:t>;</w:t>
      </w:r>
    </w:p>
    <w:p w14:paraId="77C44753" w14:textId="466B26C6" w:rsidR="00200E96" w:rsidRDefault="001F3D69">
      <w:pPr>
        <w:pStyle w:val="ListParagraph"/>
        <w:numPr>
          <w:ilvl w:val="0"/>
          <w:numId w:val="1"/>
        </w:numPr>
        <w:rPr>
          <w:lang w:val="en-GB"/>
        </w:rPr>
      </w:pPr>
      <w:r w:rsidRPr="009347F4">
        <w:rPr>
          <w:lang w:val="en-GB"/>
        </w:rPr>
        <w:t>To identify how</w:t>
      </w:r>
      <w:r w:rsidR="00200E96" w:rsidRPr="009347F4">
        <w:rPr>
          <w:lang w:val="en-GB"/>
        </w:rPr>
        <w:t xml:space="preserve"> medication adherence is currently measured for people with acquired communication disorders</w:t>
      </w:r>
      <w:r w:rsidR="009347F4" w:rsidRPr="009347F4">
        <w:rPr>
          <w:lang w:val="en-GB"/>
        </w:rPr>
        <w:t>.</w:t>
      </w:r>
    </w:p>
    <w:p w14:paraId="7FEEFD7E" w14:textId="77777777" w:rsidR="00E77F0B" w:rsidRDefault="00E77F0B" w:rsidP="00E77F0B">
      <w:pPr>
        <w:pStyle w:val="ListParagraph"/>
        <w:rPr>
          <w:lang w:val="en-GB"/>
        </w:rPr>
      </w:pPr>
    </w:p>
    <w:p w14:paraId="54CEEAD8" w14:textId="77777777" w:rsidR="00E77F0B" w:rsidRPr="009347F4" w:rsidRDefault="00E77F0B" w:rsidP="00E77F0B">
      <w:pPr>
        <w:pStyle w:val="ListParagraph"/>
        <w:rPr>
          <w:lang w:val="en-GB"/>
        </w:rPr>
      </w:pPr>
    </w:p>
    <w:p w14:paraId="32877D22" w14:textId="36E16C1F" w:rsidR="00544A42" w:rsidRPr="00E77F0B" w:rsidRDefault="00544A42">
      <w:pPr>
        <w:pStyle w:val="ListParagraph"/>
        <w:numPr>
          <w:ilvl w:val="0"/>
          <w:numId w:val="2"/>
        </w:numPr>
        <w:rPr>
          <w:b/>
          <w:bCs/>
          <w:lang w:val="en-GB"/>
        </w:rPr>
      </w:pPr>
      <w:r w:rsidRPr="00E77F0B">
        <w:rPr>
          <w:b/>
          <w:bCs/>
          <w:lang w:val="en-GB"/>
        </w:rPr>
        <w:t>Methods</w:t>
      </w:r>
    </w:p>
    <w:p w14:paraId="235C0FD2" w14:textId="36CFA45D" w:rsidR="00130F2C" w:rsidRDefault="00130F2C">
      <w:pPr>
        <w:rPr>
          <w:lang w:val="en-GB"/>
        </w:rPr>
      </w:pPr>
      <w:r w:rsidRPr="00130F2C">
        <w:rPr>
          <w:lang w:val="en-GB"/>
        </w:rPr>
        <w:t>This study was conducted and reported in accordance with</w:t>
      </w:r>
      <w:r w:rsidR="0008020E">
        <w:rPr>
          <w:lang w:val="en-GB"/>
        </w:rPr>
        <w:t xml:space="preserve"> both</w:t>
      </w:r>
      <w:r w:rsidRPr="00130F2C">
        <w:rPr>
          <w:lang w:val="en-GB"/>
        </w:rPr>
        <w:t xml:space="preserve"> Preferred </w:t>
      </w:r>
      <w:r w:rsidR="00C62698" w:rsidRPr="00130F2C">
        <w:rPr>
          <w:lang w:val="en-GB"/>
        </w:rPr>
        <w:t xml:space="preserve">Reporting Items for Systematic Reviews </w:t>
      </w:r>
      <w:r w:rsidR="00C62698">
        <w:rPr>
          <w:lang w:val="en-GB"/>
        </w:rPr>
        <w:t>a</w:t>
      </w:r>
      <w:r w:rsidR="00C62698" w:rsidRPr="00130F2C">
        <w:rPr>
          <w:lang w:val="en-GB"/>
        </w:rPr>
        <w:t xml:space="preserve">nd Meta-Analyses </w:t>
      </w:r>
      <w:r w:rsidRPr="00130F2C">
        <w:rPr>
          <w:lang w:val="en-GB"/>
        </w:rPr>
        <w:t>(PRISMA)</w:t>
      </w:r>
      <w:r w:rsidR="0045523B">
        <w:rPr>
          <w:lang w:val="en-GB"/>
        </w:rPr>
        <w:t xml:space="preserve"> (</w:t>
      </w:r>
      <w:r w:rsidR="004D6249">
        <w:rPr>
          <w:lang w:val="en-GB"/>
        </w:rPr>
        <w:t>Appendix I</w:t>
      </w:r>
      <w:r w:rsidR="0045523B">
        <w:rPr>
          <w:lang w:val="en-GB"/>
        </w:rPr>
        <w:t>)</w:t>
      </w:r>
      <w:r w:rsidR="0008020E">
        <w:rPr>
          <w:lang w:val="en-GB"/>
        </w:rPr>
        <w:t xml:space="preserve"> and Synthesis Without Meta-Analysis (SWiM) guidelines</w:t>
      </w:r>
      <w:r w:rsidR="0076601B">
        <w:rPr>
          <w:lang w:val="en-GB"/>
        </w:rPr>
        <w:t xml:space="preserve"> </w:t>
      </w:r>
      <w:r w:rsidR="0008020E">
        <w:rPr>
          <w:lang w:val="en-GB"/>
        </w:rPr>
        <w:t>(</w:t>
      </w:r>
      <w:r w:rsidR="004D6249">
        <w:rPr>
          <w:lang w:val="en-GB"/>
        </w:rPr>
        <w:t>Appendix II</w:t>
      </w:r>
      <w:r w:rsidR="0008020E">
        <w:rPr>
          <w:lang w:val="en-GB"/>
        </w:rPr>
        <w:t>)</w:t>
      </w:r>
      <w:r w:rsidR="00C00BBA">
        <w:rPr>
          <w:lang w:val="en-GB"/>
        </w:rPr>
        <w:t xml:space="preserve"> [</w:t>
      </w:r>
      <w:r w:rsidR="0008020E">
        <w:rPr>
          <w:lang w:val="en-GB"/>
        </w:rPr>
        <w:t>23</w:t>
      </w:r>
      <w:r w:rsidR="00400E06">
        <w:rPr>
          <w:lang w:val="en-GB"/>
        </w:rPr>
        <w:t>, 24</w:t>
      </w:r>
      <w:r w:rsidR="00C00BBA">
        <w:rPr>
          <w:lang w:val="en-GB"/>
        </w:rPr>
        <w:t>].</w:t>
      </w:r>
      <w:r w:rsidRPr="00130F2C">
        <w:rPr>
          <w:lang w:val="en-GB"/>
        </w:rPr>
        <w:t xml:space="preserve"> The protocol for this systematic review was published </w:t>
      </w:r>
      <w:r w:rsidR="00D36CDF">
        <w:rPr>
          <w:lang w:val="en-GB"/>
        </w:rPr>
        <w:t xml:space="preserve">to </w:t>
      </w:r>
      <w:r w:rsidRPr="00130F2C">
        <w:rPr>
          <w:lang w:val="en-GB"/>
        </w:rPr>
        <w:t>PROSPERO on</w:t>
      </w:r>
      <w:r w:rsidR="00790083">
        <w:rPr>
          <w:lang w:val="en-GB"/>
        </w:rPr>
        <w:t xml:space="preserve"> </w:t>
      </w:r>
      <w:r w:rsidR="00D36CDF">
        <w:rPr>
          <w:lang w:val="en-GB"/>
        </w:rPr>
        <w:t>09 March 2022</w:t>
      </w:r>
      <w:r w:rsidR="005A3596">
        <w:rPr>
          <w:lang w:val="en-GB"/>
        </w:rPr>
        <w:t xml:space="preserve"> [2</w:t>
      </w:r>
      <w:r w:rsidR="00400E06">
        <w:rPr>
          <w:lang w:val="en-GB"/>
        </w:rPr>
        <w:t>5</w:t>
      </w:r>
      <w:r w:rsidR="005A3596">
        <w:rPr>
          <w:lang w:val="en-GB"/>
        </w:rPr>
        <w:t>]</w:t>
      </w:r>
      <w:r w:rsidRPr="00130F2C">
        <w:rPr>
          <w:lang w:val="en-GB"/>
        </w:rPr>
        <w:t>.</w:t>
      </w:r>
    </w:p>
    <w:p w14:paraId="20A053C7" w14:textId="740A011D" w:rsidR="00E77F0B" w:rsidRDefault="00E77F0B">
      <w:pPr>
        <w:pStyle w:val="ListParagraph"/>
        <w:numPr>
          <w:ilvl w:val="1"/>
          <w:numId w:val="2"/>
        </w:numPr>
        <w:rPr>
          <w:b/>
          <w:bCs/>
          <w:lang w:val="en-GB"/>
        </w:rPr>
      </w:pPr>
      <w:r w:rsidRPr="00613F15">
        <w:rPr>
          <w:b/>
          <w:bCs/>
          <w:lang w:val="en-GB"/>
        </w:rPr>
        <w:t>Search Strategy</w:t>
      </w:r>
    </w:p>
    <w:p w14:paraId="36458F1D" w14:textId="20061907" w:rsidR="00613F15" w:rsidRPr="00237005" w:rsidRDefault="73D02801" w:rsidP="00613F15">
      <w:pPr>
        <w:pStyle w:val="ListParagraph"/>
        <w:rPr>
          <w:lang w:val="en-GB"/>
        </w:rPr>
      </w:pPr>
      <w:r w:rsidRPr="141E890C">
        <w:rPr>
          <w:lang w:val="en-GB"/>
        </w:rPr>
        <w:t>Eight</w:t>
      </w:r>
      <w:r w:rsidR="1643109C" w:rsidRPr="141E890C">
        <w:rPr>
          <w:lang w:val="en-GB"/>
        </w:rPr>
        <w:t xml:space="preserve"> database</w:t>
      </w:r>
      <w:r w:rsidR="4A2984A0" w:rsidRPr="141E890C">
        <w:rPr>
          <w:lang w:val="en-GB"/>
        </w:rPr>
        <w:t xml:space="preserve">s </w:t>
      </w:r>
      <w:r w:rsidRPr="141E890C">
        <w:rPr>
          <w:lang w:val="en-GB"/>
        </w:rPr>
        <w:t>were selected</w:t>
      </w:r>
      <w:r w:rsidR="4A2984A0" w:rsidRPr="141E890C">
        <w:rPr>
          <w:lang w:val="en-GB"/>
        </w:rPr>
        <w:t xml:space="preserve"> for </w:t>
      </w:r>
      <w:r w:rsidR="127E50BF" w:rsidRPr="141E890C">
        <w:rPr>
          <w:lang w:val="en-GB"/>
        </w:rPr>
        <w:t>systematic</w:t>
      </w:r>
      <w:r w:rsidR="4A2984A0" w:rsidRPr="141E890C">
        <w:rPr>
          <w:lang w:val="en-GB"/>
        </w:rPr>
        <w:t xml:space="preserve"> literature search</w:t>
      </w:r>
      <w:r w:rsidR="7F27AB46" w:rsidRPr="141E890C">
        <w:rPr>
          <w:lang w:val="en-GB"/>
        </w:rPr>
        <w:t xml:space="preserve">: CINHAL, </w:t>
      </w:r>
      <w:r w:rsidR="30028DFD" w:rsidRPr="141E890C">
        <w:rPr>
          <w:lang w:val="en-GB"/>
        </w:rPr>
        <w:t>Cochrane Central Register of Controlled Trials, Cochrane Reviews, NeuroBITE, PsycINFO,</w:t>
      </w:r>
      <w:r w:rsidR="7F27AB46" w:rsidRPr="141E890C">
        <w:rPr>
          <w:lang w:val="en-GB"/>
        </w:rPr>
        <w:t xml:space="preserve"> </w:t>
      </w:r>
      <w:r w:rsidR="00C97E81" w:rsidRPr="141E890C">
        <w:rPr>
          <w:lang w:val="en-GB"/>
        </w:rPr>
        <w:t>PubMed</w:t>
      </w:r>
      <w:r w:rsidR="7F27AB46" w:rsidRPr="141E890C">
        <w:rPr>
          <w:lang w:val="en-GB"/>
        </w:rPr>
        <w:t>,</w:t>
      </w:r>
      <w:r w:rsidR="30028DFD" w:rsidRPr="141E890C">
        <w:rPr>
          <w:lang w:val="en-GB"/>
        </w:rPr>
        <w:t xml:space="preserve"> and SpeechBITE.</w:t>
      </w:r>
      <w:r w:rsidR="4A2984A0" w:rsidRPr="141E890C">
        <w:rPr>
          <w:lang w:val="en-GB"/>
        </w:rPr>
        <w:t xml:space="preserve"> </w:t>
      </w:r>
      <w:r w:rsidR="5E359CC6" w:rsidRPr="141E890C">
        <w:rPr>
          <w:lang w:val="en-GB"/>
        </w:rPr>
        <w:t xml:space="preserve">These databases were searched from </w:t>
      </w:r>
      <w:r w:rsidR="19BBB943" w:rsidRPr="141E890C">
        <w:rPr>
          <w:lang w:val="en-GB"/>
        </w:rPr>
        <w:t>January 1</w:t>
      </w:r>
      <w:r w:rsidR="19BBB943" w:rsidRPr="141E890C">
        <w:rPr>
          <w:vertAlign w:val="superscript"/>
          <w:lang w:val="en-GB"/>
        </w:rPr>
        <w:t>st</w:t>
      </w:r>
      <w:r w:rsidR="19BBB943" w:rsidRPr="141E890C">
        <w:rPr>
          <w:lang w:val="en-GB"/>
        </w:rPr>
        <w:t xml:space="preserve"> 20</w:t>
      </w:r>
      <w:r w:rsidR="4E406994" w:rsidRPr="141E890C">
        <w:rPr>
          <w:lang w:val="en-GB"/>
        </w:rPr>
        <w:t>02</w:t>
      </w:r>
      <w:r w:rsidR="19BBB943" w:rsidRPr="141E890C">
        <w:rPr>
          <w:lang w:val="en-GB"/>
        </w:rPr>
        <w:t xml:space="preserve"> to January </w:t>
      </w:r>
      <w:r w:rsidR="0B2E4A68" w:rsidRPr="141E890C">
        <w:rPr>
          <w:lang w:val="en-GB"/>
        </w:rPr>
        <w:t>9</w:t>
      </w:r>
      <w:r w:rsidR="0B2E4A68" w:rsidRPr="141E890C">
        <w:rPr>
          <w:vertAlign w:val="superscript"/>
          <w:lang w:val="en-GB"/>
        </w:rPr>
        <w:t>th</w:t>
      </w:r>
      <w:r w:rsidR="0B2E4A68" w:rsidRPr="141E890C">
        <w:rPr>
          <w:lang w:val="en-GB"/>
        </w:rPr>
        <w:t xml:space="preserve"> </w:t>
      </w:r>
      <w:r w:rsidR="5E359CC6" w:rsidRPr="141E890C">
        <w:rPr>
          <w:lang w:val="en-GB"/>
        </w:rPr>
        <w:t>202</w:t>
      </w:r>
      <w:r w:rsidR="436DF456" w:rsidRPr="141E890C">
        <w:rPr>
          <w:lang w:val="en-GB"/>
        </w:rPr>
        <w:t>3</w:t>
      </w:r>
      <w:r w:rsidR="5E359CC6" w:rsidRPr="141E890C">
        <w:rPr>
          <w:lang w:val="en-GB"/>
        </w:rPr>
        <w:t xml:space="preserve"> to identify</w:t>
      </w:r>
      <w:r w:rsidR="436DF456" w:rsidRPr="141E890C">
        <w:rPr>
          <w:lang w:val="en-GB"/>
        </w:rPr>
        <w:t xml:space="preserve"> studies</w:t>
      </w:r>
      <w:r w:rsidR="196CB459" w:rsidRPr="141E890C">
        <w:rPr>
          <w:lang w:val="en-GB"/>
        </w:rPr>
        <w:t xml:space="preserve"> in the English language which</w:t>
      </w:r>
      <w:r w:rsidR="436DF456" w:rsidRPr="141E890C">
        <w:rPr>
          <w:lang w:val="en-GB"/>
        </w:rPr>
        <w:t xml:space="preserve"> meet the inclusion criteria.</w:t>
      </w:r>
      <w:r w:rsidR="00BE659F">
        <w:rPr>
          <w:lang w:val="en-GB"/>
        </w:rPr>
        <w:t xml:space="preserve"> Databases were not searched from inception as more recent literature has the most relevance to inform contemporary practice relating to medication adherence for people with acquired communication disorders; therefore the 20-year limit was set. </w:t>
      </w:r>
      <w:r w:rsidR="352E0D77" w:rsidRPr="141E890C">
        <w:rPr>
          <w:lang w:val="en-GB"/>
        </w:rPr>
        <w:t>Search</w:t>
      </w:r>
      <w:r w:rsidR="18FC0B8C" w:rsidRPr="141E890C">
        <w:rPr>
          <w:lang w:val="en-GB"/>
        </w:rPr>
        <w:t xml:space="preserve">es were constructed using Boolean operators (AND, OR) and Medical Subject Headings, and </w:t>
      </w:r>
      <w:r w:rsidR="496FB779" w:rsidRPr="141E890C">
        <w:rPr>
          <w:lang w:val="en-GB"/>
        </w:rPr>
        <w:t xml:space="preserve">contained terms relating to </w:t>
      </w:r>
      <w:r w:rsidR="52308F4D" w:rsidRPr="141E890C">
        <w:rPr>
          <w:lang w:val="en-GB"/>
        </w:rPr>
        <w:t>Acquired Communication Disorders, Medication Adherence</w:t>
      </w:r>
      <w:r w:rsidR="07895265" w:rsidRPr="141E890C">
        <w:rPr>
          <w:lang w:val="en-GB"/>
        </w:rPr>
        <w:t xml:space="preserve">, and </w:t>
      </w:r>
      <w:r w:rsidR="28551567" w:rsidRPr="141E890C">
        <w:rPr>
          <w:lang w:val="en-GB"/>
        </w:rPr>
        <w:t>Influencing Factors.</w:t>
      </w:r>
      <w:r w:rsidR="6D6EBA13" w:rsidRPr="141E890C">
        <w:rPr>
          <w:lang w:val="en-GB"/>
        </w:rPr>
        <w:t xml:space="preserve"> </w:t>
      </w:r>
      <w:r w:rsidR="7133A373" w:rsidRPr="141E890C">
        <w:rPr>
          <w:lang w:val="en-GB"/>
        </w:rPr>
        <w:t xml:space="preserve">Reference lists of included studies were </w:t>
      </w:r>
      <w:r w:rsidR="00679C51" w:rsidRPr="141E890C">
        <w:rPr>
          <w:lang w:val="en-GB"/>
        </w:rPr>
        <w:t xml:space="preserve">searched for </w:t>
      </w:r>
      <w:r w:rsidR="61A70EE1" w:rsidRPr="141E890C">
        <w:rPr>
          <w:lang w:val="en-GB"/>
        </w:rPr>
        <w:t xml:space="preserve">additional articles. </w:t>
      </w:r>
      <w:r w:rsidR="135C0EA7" w:rsidRPr="141E890C">
        <w:rPr>
          <w:lang w:val="en-GB"/>
        </w:rPr>
        <w:t xml:space="preserve">The full search strategy for </w:t>
      </w:r>
      <w:r w:rsidR="199CCD36" w:rsidRPr="141E890C">
        <w:rPr>
          <w:lang w:val="en-GB"/>
        </w:rPr>
        <w:t>PubMed</w:t>
      </w:r>
      <w:r w:rsidR="27658325" w:rsidRPr="141E890C">
        <w:rPr>
          <w:lang w:val="en-GB"/>
        </w:rPr>
        <w:t xml:space="preserve"> </w:t>
      </w:r>
      <w:r w:rsidR="135C0EA7" w:rsidRPr="141E890C">
        <w:rPr>
          <w:lang w:val="en-GB"/>
        </w:rPr>
        <w:t xml:space="preserve">is provided </w:t>
      </w:r>
      <w:r w:rsidR="674747D2" w:rsidRPr="141E890C">
        <w:rPr>
          <w:lang w:val="en-GB"/>
        </w:rPr>
        <w:t xml:space="preserve">in Appendix III. </w:t>
      </w:r>
    </w:p>
    <w:p w14:paraId="264CE1AB" w14:textId="77777777" w:rsidR="00613F15" w:rsidRPr="00613F15" w:rsidRDefault="00613F15" w:rsidP="00613F15">
      <w:pPr>
        <w:pStyle w:val="ListParagraph"/>
        <w:rPr>
          <w:b/>
          <w:bCs/>
          <w:lang w:val="en-GB"/>
        </w:rPr>
      </w:pPr>
    </w:p>
    <w:p w14:paraId="346078E0" w14:textId="6EAB9F3F" w:rsidR="00613F15" w:rsidRDefault="002018F6">
      <w:pPr>
        <w:pStyle w:val="ListParagraph"/>
        <w:numPr>
          <w:ilvl w:val="1"/>
          <w:numId w:val="2"/>
        </w:numPr>
        <w:rPr>
          <w:b/>
          <w:bCs/>
          <w:lang w:val="en-GB"/>
        </w:rPr>
      </w:pPr>
      <w:r>
        <w:rPr>
          <w:b/>
          <w:bCs/>
          <w:lang w:val="en-GB"/>
        </w:rPr>
        <w:t>Inclusion Criteria</w:t>
      </w:r>
    </w:p>
    <w:p w14:paraId="4E81EFFD" w14:textId="1FE2578A" w:rsidR="007C28FC" w:rsidRPr="007C28FC" w:rsidRDefault="007C28FC" w:rsidP="007C28FC">
      <w:pPr>
        <w:pStyle w:val="ListParagraph"/>
        <w:rPr>
          <w:lang w:val="en-GB"/>
        </w:rPr>
      </w:pPr>
      <w:r w:rsidRPr="007C28FC">
        <w:rPr>
          <w:lang w:val="en-GB"/>
        </w:rPr>
        <w:t xml:space="preserve">Papers </w:t>
      </w:r>
      <w:r>
        <w:rPr>
          <w:lang w:val="en-GB"/>
        </w:rPr>
        <w:t>were included according to the following inclusion hierarchy:</w:t>
      </w:r>
    </w:p>
    <w:p w14:paraId="03E5D2A0" w14:textId="008BE992" w:rsidR="00AD1E52" w:rsidRPr="003B6172" w:rsidRDefault="00AD1E52">
      <w:pPr>
        <w:pStyle w:val="ListParagraph"/>
        <w:numPr>
          <w:ilvl w:val="0"/>
          <w:numId w:val="3"/>
        </w:numPr>
        <w:rPr>
          <w:lang w:val="en-GB"/>
        </w:rPr>
      </w:pPr>
      <w:r w:rsidRPr="003B6172">
        <w:rPr>
          <w:lang w:val="en-GB"/>
        </w:rPr>
        <w:t>Publication Year: 2002- 2022</w:t>
      </w:r>
    </w:p>
    <w:p w14:paraId="5089F8AC" w14:textId="3F47A2B6" w:rsidR="00AD1E52" w:rsidRPr="003B6172" w:rsidRDefault="005407F2">
      <w:pPr>
        <w:pStyle w:val="ListParagraph"/>
        <w:numPr>
          <w:ilvl w:val="0"/>
          <w:numId w:val="3"/>
        </w:numPr>
        <w:rPr>
          <w:lang w:val="en-GB"/>
        </w:rPr>
      </w:pPr>
      <w:r w:rsidRPr="003B6172">
        <w:rPr>
          <w:lang w:val="en-GB"/>
        </w:rPr>
        <w:t>R</w:t>
      </w:r>
      <w:r w:rsidR="00AD1E52" w:rsidRPr="003B6172">
        <w:rPr>
          <w:lang w:val="en-GB"/>
        </w:rPr>
        <w:t>esearch</w:t>
      </w:r>
      <w:r w:rsidRPr="003B6172">
        <w:rPr>
          <w:lang w:val="en-GB"/>
        </w:rPr>
        <w:t xml:space="preserve"> Type</w:t>
      </w:r>
      <w:r w:rsidR="00AD1E52" w:rsidRPr="003B6172">
        <w:rPr>
          <w:lang w:val="en-GB"/>
        </w:rPr>
        <w:t xml:space="preserve">: Primary research only. </w:t>
      </w:r>
    </w:p>
    <w:p w14:paraId="541F1BE4" w14:textId="3A39FE61" w:rsidR="00AD1E52" w:rsidRPr="003B6172" w:rsidRDefault="00AD1E52">
      <w:pPr>
        <w:pStyle w:val="ListParagraph"/>
        <w:numPr>
          <w:ilvl w:val="0"/>
          <w:numId w:val="3"/>
        </w:numPr>
        <w:rPr>
          <w:lang w:val="en-GB"/>
        </w:rPr>
      </w:pPr>
      <w:r w:rsidRPr="003B6172">
        <w:rPr>
          <w:lang w:val="en-GB"/>
        </w:rPr>
        <w:t>Publication Type: Journal articles only.</w:t>
      </w:r>
    </w:p>
    <w:p w14:paraId="223EA9FB" w14:textId="5DE0960B" w:rsidR="00AD1E52" w:rsidRPr="003B6172" w:rsidRDefault="00AD1E52">
      <w:pPr>
        <w:pStyle w:val="ListParagraph"/>
        <w:numPr>
          <w:ilvl w:val="0"/>
          <w:numId w:val="3"/>
        </w:numPr>
        <w:rPr>
          <w:lang w:val="en-GB"/>
        </w:rPr>
      </w:pPr>
      <w:r w:rsidRPr="003B6172">
        <w:rPr>
          <w:lang w:val="en-GB"/>
        </w:rPr>
        <w:t xml:space="preserve">Population: People with acquired communication disorders and/or their </w:t>
      </w:r>
      <w:r w:rsidR="005C3D30" w:rsidRPr="003B6172">
        <w:rPr>
          <w:lang w:val="en-GB"/>
        </w:rPr>
        <w:t>caregiver</w:t>
      </w:r>
      <w:r w:rsidRPr="003B6172">
        <w:rPr>
          <w:lang w:val="en-GB"/>
        </w:rPr>
        <w:t>s only.</w:t>
      </w:r>
    </w:p>
    <w:p w14:paraId="31DA5F58" w14:textId="329FCC9F" w:rsidR="00AD1E52" w:rsidRPr="003B6172" w:rsidRDefault="00AD1E52">
      <w:pPr>
        <w:pStyle w:val="ListParagraph"/>
        <w:numPr>
          <w:ilvl w:val="0"/>
          <w:numId w:val="3"/>
        </w:numPr>
        <w:rPr>
          <w:lang w:val="en-GB"/>
        </w:rPr>
      </w:pPr>
      <w:r w:rsidRPr="003B6172">
        <w:rPr>
          <w:lang w:val="en-GB"/>
        </w:rPr>
        <w:t>Outcomes</w:t>
      </w:r>
      <w:r w:rsidR="00A24251" w:rsidRPr="003B6172">
        <w:rPr>
          <w:lang w:val="en-GB"/>
        </w:rPr>
        <w:t xml:space="preserve">: </w:t>
      </w:r>
      <w:r w:rsidR="00BE659F">
        <w:rPr>
          <w:lang w:val="en-GB"/>
        </w:rPr>
        <w:t>People</w:t>
      </w:r>
      <w:r w:rsidRPr="003B6172">
        <w:rPr>
          <w:lang w:val="en-GB"/>
        </w:rPr>
        <w:t xml:space="preserve"> with acquired communication disorders and/or their </w:t>
      </w:r>
      <w:r w:rsidR="005C3D30" w:rsidRPr="003B6172">
        <w:rPr>
          <w:lang w:val="en-GB"/>
        </w:rPr>
        <w:t>caregiver</w:t>
      </w:r>
      <w:r w:rsidRPr="003B6172">
        <w:rPr>
          <w:lang w:val="en-GB"/>
        </w:rPr>
        <w:t xml:space="preserve">s </w:t>
      </w:r>
      <w:r w:rsidR="00A24251" w:rsidRPr="003B6172">
        <w:rPr>
          <w:lang w:val="en-GB"/>
        </w:rPr>
        <w:t>are</w:t>
      </w:r>
      <w:r w:rsidRPr="003B6172">
        <w:rPr>
          <w:lang w:val="en-GB"/>
        </w:rPr>
        <w:t xml:space="preserve"> included</w:t>
      </w:r>
      <w:r w:rsidR="00A24251" w:rsidRPr="003B6172">
        <w:rPr>
          <w:lang w:val="en-GB"/>
        </w:rPr>
        <w:t>, and</w:t>
      </w:r>
      <w:r w:rsidRPr="003B6172">
        <w:rPr>
          <w:lang w:val="en-GB"/>
        </w:rPr>
        <w:t xml:space="preserve"> data relate</w:t>
      </w:r>
      <w:r w:rsidR="00A24251" w:rsidRPr="003B6172">
        <w:rPr>
          <w:lang w:val="en-GB"/>
        </w:rPr>
        <w:t xml:space="preserve">s </w:t>
      </w:r>
      <w:r w:rsidRPr="003B6172">
        <w:rPr>
          <w:lang w:val="en-GB"/>
        </w:rPr>
        <w:t>to factors influencing (barriers, facilitators, personal experience) medication adherence or interventions targeting medication non-adherence.</w:t>
      </w:r>
    </w:p>
    <w:p w14:paraId="2B2B0FCE" w14:textId="6A83337A" w:rsidR="00905C0B" w:rsidRPr="003B6172" w:rsidRDefault="78C2F71B">
      <w:pPr>
        <w:pStyle w:val="ListParagraph"/>
        <w:numPr>
          <w:ilvl w:val="0"/>
          <w:numId w:val="3"/>
        </w:numPr>
        <w:rPr>
          <w:lang w:val="en-GB"/>
        </w:rPr>
      </w:pPr>
      <w:r w:rsidRPr="141E890C">
        <w:rPr>
          <w:lang w:val="en-GB"/>
        </w:rPr>
        <w:t xml:space="preserve">Access: </w:t>
      </w:r>
      <w:r w:rsidR="00BE659F">
        <w:rPr>
          <w:lang w:val="en-GB"/>
        </w:rPr>
        <w:t>F</w:t>
      </w:r>
      <w:r w:rsidR="14D59A60" w:rsidRPr="141E890C">
        <w:rPr>
          <w:lang w:val="en-GB"/>
        </w:rPr>
        <w:t xml:space="preserve">ull text available. </w:t>
      </w:r>
    </w:p>
    <w:p w14:paraId="04915DEE" w14:textId="77777777" w:rsidR="006339BC" w:rsidRPr="00905C0B" w:rsidRDefault="006339BC" w:rsidP="00AD1E52">
      <w:pPr>
        <w:pStyle w:val="ListParagraph"/>
        <w:rPr>
          <w:lang w:val="en-GB"/>
        </w:rPr>
      </w:pPr>
    </w:p>
    <w:p w14:paraId="53F440F9" w14:textId="10C8B69E" w:rsidR="00905C0B" w:rsidRDefault="006339BC">
      <w:pPr>
        <w:pStyle w:val="ListParagraph"/>
        <w:numPr>
          <w:ilvl w:val="1"/>
          <w:numId w:val="2"/>
        </w:numPr>
        <w:rPr>
          <w:b/>
          <w:bCs/>
          <w:lang w:val="en-GB"/>
        </w:rPr>
      </w:pPr>
      <w:r>
        <w:rPr>
          <w:b/>
          <w:bCs/>
          <w:lang w:val="en-GB"/>
        </w:rPr>
        <w:t>Exclusion Criteria</w:t>
      </w:r>
    </w:p>
    <w:p w14:paraId="6033B40E" w14:textId="77777777" w:rsidR="00E55D3A" w:rsidRDefault="00E55D3A" w:rsidP="00E55D3A">
      <w:pPr>
        <w:pStyle w:val="ListParagraph"/>
        <w:rPr>
          <w:lang w:val="en-GB"/>
        </w:rPr>
      </w:pPr>
      <w:r w:rsidRPr="007C28FC">
        <w:rPr>
          <w:lang w:val="en-GB"/>
        </w:rPr>
        <w:t xml:space="preserve">Papers </w:t>
      </w:r>
      <w:r>
        <w:rPr>
          <w:lang w:val="en-GB"/>
        </w:rPr>
        <w:t>were excluded according to the following exclusion hierarchy:</w:t>
      </w:r>
    </w:p>
    <w:p w14:paraId="3A8F6E87" w14:textId="77777777" w:rsidR="00E55D3A" w:rsidRPr="00AD1E52" w:rsidRDefault="00E55D3A">
      <w:pPr>
        <w:pStyle w:val="ListParagraph"/>
        <w:numPr>
          <w:ilvl w:val="0"/>
          <w:numId w:val="4"/>
        </w:numPr>
        <w:rPr>
          <w:lang w:val="en-GB"/>
        </w:rPr>
      </w:pPr>
      <w:r w:rsidRPr="00AD1E52">
        <w:rPr>
          <w:lang w:val="en-GB"/>
        </w:rPr>
        <w:t xml:space="preserve">Publication Year: </w:t>
      </w:r>
      <w:r>
        <w:rPr>
          <w:lang w:val="en-GB"/>
        </w:rPr>
        <w:t>Before January 1</w:t>
      </w:r>
      <w:r w:rsidRPr="00AF0B2F">
        <w:rPr>
          <w:vertAlign w:val="superscript"/>
          <w:lang w:val="en-GB"/>
        </w:rPr>
        <w:t>st</w:t>
      </w:r>
      <w:r>
        <w:rPr>
          <w:lang w:val="en-GB"/>
        </w:rPr>
        <w:t>, 2002</w:t>
      </w:r>
    </w:p>
    <w:p w14:paraId="2B900B09" w14:textId="465ABE97" w:rsidR="00E55D3A" w:rsidRPr="00AD1E52" w:rsidRDefault="00E55D3A">
      <w:pPr>
        <w:pStyle w:val="ListParagraph"/>
        <w:numPr>
          <w:ilvl w:val="0"/>
          <w:numId w:val="4"/>
        </w:numPr>
        <w:rPr>
          <w:lang w:val="en-GB"/>
        </w:rPr>
      </w:pPr>
      <w:r>
        <w:rPr>
          <w:lang w:val="en-GB"/>
        </w:rPr>
        <w:lastRenderedPageBreak/>
        <w:t>Research Type</w:t>
      </w:r>
      <w:r w:rsidRPr="00AD1E52">
        <w:rPr>
          <w:lang w:val="en-GB"/>
        </w:rPr>
        <w:t xml:space="preserve">: </w:t>
      </w:r>
      <w:r w:rsidR="009C1A7B">
        <w:rPr>
          <w:lang w:val="en-GB"/>
        </w:rPr>
        <w:t>S</w:t>
      </w:r>
      <w:r w:rsidRPr="00AD1E52">
        <w:rPr>
          <w:lang w:val="en-GB"/>
        </w:rPr>
        <w:t>econdary research, editorials, opinion papers, commentaries, expert opinions etc</w:t>
      </w:r>
      <w:r>
        <w:rPr>
          <w:lang w:val="en-GB"/>
        </w:rPr>
        <w:t>.</w:t>
      </w:r>
    </w:p>
    <w:p w14:paraId="50041184" w14:textId="77777777" w:rsidR="00E55D3A" w:rsidRPr="00AD1E52" w:rsidRDefault="00E55D3A">
      <w:pPr>
        <w:pStyle w:val="ListParagraph"/>
        <w:numPr>
          <w:ilvl w:val="0"/>
          <w:numId w:val="4"/>
        </w:numPr>
        <w:rPr>
          <w:lang w:val="en-GB"/>
        </w:rPr>
      </w:pPr>
      <w:r w:rsidRPr="00AD1E52">
        <w:rPr>
          <w:lang w:val="en-GB"/>
        </w:rPr>
        <w:t>Publication Type: No conference abstracts, study protocols, book chapters etc.</w:t>
      </w:r>
    </w:p>
    <w:p w14:paraId="4720C61A" w14:textId="12272B65" w:rsidR="00E55D3A" w:rsidRPr="00AD1E52" w:rsidRDefault="4681D242">
      <w:pPr>
        <w:pStyle w:val="ListParagraph"/>
        <w:numPr>
          <w:ilvl w:val="0"/>
          <w:numId w:val="4"/>
        </w:numPr>
        <w:rPr>
          <w:lang w:val="en-GB"/>
        </w:rPr>
      </w:pPr>
      <w:r w:rsidRPr="141E890C">
        <w:rPr>
          <w:lang w:val="en-GB"/>
        </w:rPr>
        <w:t xml:space="preserve">Population: People with acquired communication disorders and/or their caregivers are not </w:t>
      </w:r>
      <w:r w:rsidR="009C1A7B" w:rsidRPr="141E890C">
        <w:rPr>
          <w:lang w:val="en-GB"/>
        </w:rPr>
        <w:t>included or</w:t>
      </w:r>
      <w:r w:rsidR="009C1A7B">
        <w:rPr>
          <w:lang w:val="en-GB"/>
        </w:rPr>
        <w:t xml:space="preserve"> </w:t>
      </w:r>
      <w:r w:rsidR="009C1A7B" w:rsidRPr="009C1A7B">
        <w:rPr>
          <w:lang w:val="en-GB"/>
        </w:rPr>
        <w:t>are included as part of a larger population but their data is not reported separately</w:t>
      </w:r>
      <w:r w:rsidRPr="141E890C">
        <w:rPr>
          <w:lang w:val="en-GB"/>
        </w:rPr>
        <w:t>. To exclude if focused on efficacy of practice and/or healthcare professionals who target medication non-adherence.</w:t>
      </w:r>
    </w:p>
    <w:p w14:paraId="4F5CA26B" w14:textId="1A96E4C7" w:rsidR="00E55D3A" w:rsidRPr="00AF0B2F" w:rsidRDefault="00E55D3A">
      <w:pPr>
        <w:pStyle w:val="ListParagraph"/>
        <w:numPr>
          <w:ilvl w:val="0"/>
          <w:numId w:val="4"/>
        </w:numPr>
        <w:rPr>
          <w:lang w:val="en-GB"/>
        </w:rPr>
      </w:pPr>
      <w:r w:rsidRPr="00AD1E52">
        <w:rPr>
          <w:lang w:val="en-GB"/>
        </w:rPr>
        <w:t xml:space="preserve">Outcomes: </w:t>
      </w:r>
      <w:r w:rsidR="009C1A7B">
        <w:rPr>
          <w:lang w:val="en-GB"/>
        </w:rPr>
        <w:t>P</w:t>
      </w:r>
      <w:r w:rsidRPr="00AD1E52">
        <w:rPr>
          <w:lang w:val="en-GB"/>
        </w:rPr>
        <w:t xml:space="preserve">eople with acquired communication disorders and/or their </w:t>
      </w:r>
      <w:r>
        <w:rPr>
          <w:lang w:val="en-GB"/>
        </w:rPr>
        <w:t>caregiver</w:t>
      </w:r>
      <w:r w:rsidRPr="00AD1E52">
        <w:rPr>
          <w:lang w:val="en-GB"/>
        </w:rPr>
        <w:t>s were included but data does not relate to factors influencing (barriers, facilitators, personal experience) medication adherence or interventions targeting medication non-adherence. To be excluded if rate of medication adherence is mentioned but factors influencing adherence are not easily discerned.</w:t>
      </w:r>
    </w:p>
    <w:p w14:paraId="2FCFCDF2" w14:textId="1DFC3EE9" w:rsidR="00E55D3A" w:rsidRDefault="00E55D3A">
      <w:pPr>
        <w:pStyle w:val="ListParagraph"/>
        <w:numPr>
          <w:ilvl w:val="0"/>
          <w:numId w:val="4"/>
        </w:numPr>
        <w:rPr>
          <w:lang w:val="en-GB"/>
        </w:rPr>
      </w:pPr>
      <w:r w:rsidRPr="783F2ACF">
        <w:rPr>
          <w:lang w:val="en-GB"/>
        </w:rPr>
        <w:t xml:space="preserve">Access: </w:t>
      </w:r>
      <w:r w:rsidR="009C1A7B" w:rsidRPr="783F2ACF">
        <w:rPr>
          <w:lang w:val="en-GB"/>
        </w:rPr>
        <w:t xml:space="preserve">Full </w:t>
      </w:r>
      <w:r w:rsidRPr="783F2ACF">
        <w:rPr>
          <w:lang w:val="en-GB"/>
        </w:rPr>
        <w:t>text could not be obtaine</w:t>
      </w:r>
      <w:r w:rsidR="009C1A7B" w:rsidRPr="783F2ACF">
        <w:rPr>
          <w:lang w:val="en-GB"/>
        </w:rPr>
        <w:t>d</w:t>
      </w:r>
      <w:r w:rsidRPr="783F2ACF">
        <w:rPr>
          <w:lang w:val="en-GB"/>
        </w:rPr>
        <w:t xml:space="preserve">, and authors do not respond to </w:t>
      </w:r>
      <w:r w:rsidR="19F3C392" w:rsidRPr="783F2ACF">
        <w:rPr>
          <w:lang w:val="en-GB"/>
        </w:rPr>
        <w:t xml:space="preserve">an emailed </w:t>
      </w:r>
      <w:r w:rsidRPr="783F2ACF">
        <w:rPr>
          <w:lang w:val="en-GB"/>
        </w:rPr>
        <w:t>data request and one follow up email.</w:t>
      </w:r>
    </w:p>
    <w:p w14:paraId="63B5E49D" w14:textId="77777777" w:rsidR="00E55D3A" w:rsidRDefault="00E55D3A" w:rsidP="00E55D3A">
      <w:pPr>
        <w:pStyle w:val="ListParagraph"/>
        <w:ind w:left="786"/>
        <w:rPr>
          <w:b/>
          <w:bCs/>
          <w:lang w:val="en-GB"/>
        </w:rPr>
      </w:pPr>
    </w:p>
    <w:p w14:paraId="05E00528" w14:textId="7C653BF7" w:rsidR="00E55D3A" w:rsidRDefault="00E55D3A">
      <w:pPr>
        <w:pStyle w:val="ListParagraph"/>
        <w:numPr>
          <w:ilvl w:val="1"/>
          <w:numId w:val="2"/>
        </w:numPr>
        <w:rPr>
          <w:b/>
          <w:bCs/>
          <w:lang w:val="en-GB"/>
        </w:rPr>
      </w:pPr>
      <w:r>
        <w:rPr>
          <w:b/>
          <w:bCs/>
          <w:lang w:val="en-GB"/>
        </w:rPr>
        <w:t>Study Selection</w:t>
      </w:r>
    </w:p>
    <w:p w14:paraId="123CF480" w14:textId="50C75A6A" w:rsidR="00206617" w:rsidRDefault="00A62B16" w:rsidP="00657406">
      <w:pPr>
        <w:pStyle w:val="ListParagraph"/>
        <w:ind w:left="786"/>
        <w:rPr>
          <w:lang w:val="en-GB"/>
        </w:rPr>
      </w:pPr>
      <w:r>
        <w:rPr>
          <w:lang w:val="en-GB"/>
        </w:rPr>
        <w:t>Following the preliminary search all data were uploaded to Rayyan</w:t>
      </w:r>
      <w:r w:rsidR="00D7045C">
        <w:rPr>
          <w:lang w:val="en-GB"/>
        </w:rPr>
        <w:t xml:space="preserve">, a </w:t>
      </w:r>
      <w:r w:rsidR="00DA52CF">
        <w:rPr>
          <w:lang w:val="en-GB"/>
        </w:rPr>
        <w:t xml:space="preserve">web-based </w:t>
      </w:r>
      <w:r w:rsidR="004D26E1">
        <w:rPr>
          <w:lang w:val="en-GB"/>
        </w:rPr>
        <w:t>systematic review screening tool</w:t>
      </w:r>
      <w:r w:rsidR="00560C83">
        <w:rPr>
          <w:lang w:val="en-GB"/>
        </w:rPr>
        <w:t xml:space="preserve"> [26].</w:t>
      </w:r>
      <w:r w:rsidR="00311C86">
        <w:rPr>
          <w:lang w:val="en-GB"/>
        </w:rPr>
        <w:t xml:space="preserve"> </w:t>
      </w:r>
      <w:r w:rsidR="0041406E">
        <w:rPr>
          <w:lang w:val="en-GB"/>
        </w:rPr>
        <w:t>P</w:t>
      </w:r>
      <w:r w:rsidR="00ED5920">
        <w:rPr>
          <w:lang w:val="en-GB"/>
        </w:rPr>
        <w:t>apers were</w:t>
      </w:r>
      <w:r w:rsidR="0041406E">
        <w:rPr>
          <w:lang w:val="en-GB"/>
        </w:rPr>
        <w:t xml:space="preserve"> first</w:t>
      </w:r>
      <w:r w:rsidR="00ED5920">
        <w:rPr>
          <w:lang w:val="en-GB"/>
        </w:rPr>
        <w:t xml:space="preserve"> reviewed</w:t>
      </w:r>
      <w:r w:rsidR="0041406E">
        <w:rPr>
          <w:lang w:val="en-GB"/>
        </w:rPr>
        <w:t xml:space="preserve"> by title and abstract</w:t>
      </w:r>
      <w:r w:rsidR="00B72613">
        <w:rPr>
          <w:lang w:val="en-GB"/>
        </w:rPr>
        <w:t xml:space="preserve"> </w:t>
      </w:r>
      <w:r w:rsidR="0041406E">
        <w:rPr>
          <w:lang w:val="en-GB"/>
        </w:rPr>
        <w:t>independently</w:t>
      </w:r>
      <w:r w:rsidR="00ED5920">
        <w:rPr>
          <w:lang w:val="en-GB"/>
        </w:rPr>
        <w:t xml:space="preserve"> by S.B. and</w:t>
      </w:r>
      <w:r w:rsidR="0005733E">
        <w:rPr>
          <w:lang w:val="en-GB"/>
        </w:rPr>
        <w:t xml:space="preserve"> a second reviewer (either H.K. or L.S.)</w:t>
      </w:r>
      <w:r w:rsidR="00DF71EE" w:rsidRPr="00657406">
        <w:rPr>
          <w:lang w:val="en-GB"/>
        </w:rPr>
        <w:t>.</w:t>
      </w:r>
      <w:r w:rsidR="0005733E">
        <w:rPr>
          <w:lang w:val="en-GB"/>
        </w:rPr>
        <w:t xml:space="preserve"> </w:t>
      </w:r>
      <w:r w:rsidR="00E27707">
        <w:rPr>
          <w:lang w:val="en-GB"/>
        </w:rPr>
        <w:t>Following screening, selected</w:t>
      </w:r>
      <w:r w:rsidR="00A15788">
        <w:rPr>
          <w:lang w:val="en-GB"/>
        </w:rPr>
        <w:t xml:space="preserve"> full texts were then reviewed independently by S.B. and a second reviewer (either H.K. or L.S.)</w:t>
      </w:r>
      <w:r w:rsidR="00A15788" w:rsidRPr="00657406">
        <w:rPr>
          <w:lang w:val="en-GB"/>
        </w:rPr>
        <w:t>.</w:t>
      </w:r>
      <w:r w:rsidR="00A15788">
        <w:rPr>
          <w:lang w:val="en-GB"/>
        </w:rPr>
        <w:t xml:space="preserve"> Any </w:t>
      </w:r>
      <w:r w:rsidR="00A15788" w:rsidRPr="00A12A0C">
        <w:rPr>
          <w:lang w:val="en-GB"/>
        </w:rPr>
        <w:t xml:space="preserve">disagreements between individual judges </w:t>
      </w:r>
      <w:r w:rsidR="00A15788">
        <w:rPr>
          <w:lang w:val="en-GB"/>
        </w:rPr>
        <w:t>were</w:t>
      </w:r>
      <w:r w:rsidR="00A15788" w:rsidRPr="00A12A0C">
        <w:rPr>
          <w:lang w:val="en-GB"/>
        </w:rPr>
        <w:t xml:space="preserve"> resolved through discussion with the </w:t>
      </w:r>
      <w:r w:rsidR="00A15788">
        <w:rPr>
          <w:lang w:val="en-GB"/>
        </w:rPr>
        <w:t>reviewer who was not initially assigned the paper (either H.K. or L.S.).</w:t>
      </w:r>
    </w:p>
    <w:p w14:paraId="7900A871" w14:textId="77777777" w:rsidR="00E619CB" w:rsidRPr="00657406" w:rsidRDefault="00E619CB" w:rsidP="00657406">
      <w:pPr>
        <w:pStyle w:val="ListParagraph"/>
        <w:ind w:left="786"/>
        <w:rPr>
          <w:lang w:val="en-GB"/>
        </w:rPr>
      </w:pPr>
    </w:p>
    <w:p w14:paraId="55BE2DCF" w14:textId="70DF488B" w:rsidR="00E55D3A" w:rsidRDefault="00E55D3A">
      <w:pPr>
        <w:pStyle w:val="ListParagraph"/>
        <w:numPr>
          <w:ilvl w:val="1"/>
          <w:numId w:val="2"/>
        </w:numPr>
        <w:rPr>
          <w:b/>
          <w:bCs/>
          <w:lang w:val="en-GB"/>
        </w:rPr>
      </w:pPr>
      <w:r>
        <w:rPr>
          <w:b/>
          <w:bCs/>
          <w:lang w:val="en-GB"/>
        </w:rPr>
        <w:t>Data Extraction</w:t>
      </w:r>
    </w:p>
    <w:p w14:paraId="459FE746" w14:textId="2BD18518" w:rsidR="00985440" w:rsidRDefault="195C76AF" w:rsidP="00985440">
      <w:pPr>
        <w:pStyle w:val="ListParagraph"/>
        <w:ind w:left="786"/>
        <w:rPr>
          <w:lang w:val="en-GB"/>
        </w:rPr>
      </w:pPr>
      <w:r w:rsidRPr="141E890C">
        <w:rPr>
          <w:lang w:val="en-GB"/>
        </w:rPr>
        <w:t>A data extraction form was developed</w:t>
      </w:r>
      <w:r w:rsidR="641C076F" w:rsidRPr="141E890C">
        <w:rPr>
          <w:lang w:val="en-GB"/>
        </w:rPr>
        <w:t xml:space="preserve"> and piloted before use. </w:t>
      </w:r>
      <w:r w:rsidR="0C5D113E" w:rsidRPr="141E890C">
        <w:rPr>
          <w:lang w:val="en-GB"/>
        </w:rPr>
        <w:t>Data were extracted under the following domains</w:t>
      </w:r>
      <w:r w:rsidR="7BCDF045" w:rsidRPr="141E890C">
        <w:rPr>
          <w:lang w:val="en-GB"/>
        </w:rPr>
        <w:t>:</w:t>
      </w:r>
      <w:r w:rsidR="46CAAE03" w:rsidRPr="141E890C">
        <w:rPr>
          <w:lang w:val="en-GB"/>
        </w:rPr>
        <w:t xml:space="preserve"> </w:t>
      </w:r>
      <w:r w:rsidR="6A6BA46C" w:rsidRPr="141E890C">
        <w:rPr>
          <w:lang w:val="en-GB"/>
        </w:rPr>
        <w:t xml:space="preserve">Study Title, </w:t>
      </w:r>
      <w:r w:rsidR="46CAAE03" w:rsidRPr="141E890C">
        <w:rPr>
          <w:lang w:val="en-GB"/>
        </w:rPr>
        <w:t>Author, Country, Year, Number of Participants</w:t>
      </w:r>
      <w:r w:rsidR="6A6BA46C" w:rsidRPr="141E890C">
        <w:rPr>
          <w:lang w:val="en-GB"/>
        </w:rPr>
        <w:t>, Population</w:t>
      </w:r>
      <w:r w:rsidR="38DADCF2" w:rsidRPr="141E890C">
        <w:rPr>
          <w:lang w:val="en-GB"/>
        </w:rPr>
        <w:t xml:space="preserve">, Study Design, Inclusion/Exclusion Criteria, Communicative Abilities of Participants, </w:t>
      </w:r>
      <w:r w:rsidR="7F9E1EDB" w:rsidRPr="141E890C">
        <w:rPr>
          <w:lang w:val="en-GB"/>
        </w:rPr>
        <w:t xml:space="preserve">Method </w:t>
      </w:r>
      <w:r w:rsidR="57098F54" w:rsidRPr="141E890C">
        <w:rPr>
          <w:lang w:val="en-GB"/>
        </w:rPr>
        <w:t>of Analysis, Relevant Outcomes,</w:t>
      </w:r>
      <w:r w:rsidR="2CAB89C8" w:rsidRPr="141E890C">
        <w:rPr>
          <w:lang w:val="en-GB"/>
        </w:rPr>
        <w:t xml:space="preserve"> and</w:t>
      </w:r>
      <w:r w:rsidR="57098F54" w:rsidRPr="141E890C">
        <w:rPr>
          <w:lang w:val="en-GB"/>
        </w:rPr>
        <w:t xml:space="preserve"> Key Findings. </w:t>
      </w:r>
      <w:r w:rsidR="512A1468" w:rsidRPr="141E890C">
        <w:rPr>
          <w:lang w:val="en-GB"/>
        </w:rPr>
        <w:t>Data were extracted</w:t>
      </w:r>
      <w:r w:rsidR="009C1A7B">
        <w:rPr>
          <w:lang w:val="en-GB"/>
        </w:rPr>
        <w:t xml:space="preserve"> </w:t>
      </w:r>
      <w:r w:rsidR="512A1468" w:rsidRPr="141E890C">
        <w:rPr>
          <w:lang w:val="en-GB"/>
        </w:rPr>
        <w:t>by S.B</w:t>
      </w:r>
      <w:r w:rsidR="007053F5">
        <w:rPr>
          <w:lang w:val="en-GB"/>
        </w:rPr>
        <w:t>.</w:t>
      </w:r>
      <w:r w:rsidR="009C1A7B">
        <w:rPr>
          <w:lang w:val="en-GB"/>
        </w:rPr>
        <w:t>, and extracted data were checked against the source data by F.M</w:t>
      </w:r>
      <w:r w:rsidR="007053F5">
        <w:rPr>
          <w:lang w:val="en-GB"/>
        </w:rPr>
        <w:t>.</w:t>
      </w:r>
      <w:r w:rsidR="0070624E">
        <w:rPr>
          <w:lang w:val="en-GB"/>
        </w:rPr>
        <w:t xml:space="preserve"> to ensure its accuracy [42]</w:t>
      </w:r>
      <w:r w:rsidR="512A1468" w:rsidRPr="141E890C">
        <w:rPr>
          <w:lang w:val="en-GB"/>
        </w:rPr>
        <w:t xml:space="preserve">. </w:t>
      </w:r>
      <w:r w:rsidR="709D9D34" w:rsidRPr="141E890C">
        <w:rPr>
          <w:lang w:val="en-GB"/>
        </w:rPr>
        <w:t xml:space="preserve">Nine authors were </w:t>
      </w:r>
      <w:r w:rsidR="6284CDF7" w:rsidRPr="141E890C">
        <w:rPr>
          <w:lang w:val="en-GB"/>
        </w:rPr>
        <w:t>contacted</w:t>
      </w:r>
      <w:r w:rsidR="2BF5071E" w:rsidRPr="141E890C">
        <w:rPr>
          <w:lang w:val="en-GB"/>
        </w:rPr>
        <w:t xml:space="preserve"> by email</w:t>
      </w:r>
      <w:r w:rsidR="6284CDF7" w:rsidRPr="141E890C">
        <w:rPr>
          <w:lang w:val="en-GB"/>
        </w:rPr>
        <w:t xml:space="preserve"> and asked to provide additional data where necessary.</w:t>
      </w:r>
    </w:p>
    <w:p w14:paraId="40320CD6" w14:textId="77777777" w:rsidR="005840A2" w:rsidRPr="005840A2" w:rsidRDefault="005840A2" w:rsidP="00985440">
      <w:pPr>
        <w:pStyle w:val="ListParagraph"/>
        <w:ind w:left="786"/>
        <w:rPr>
          <w:lang w:val="en-GB"/>
        </w:rPr>
      </w:pPr>
    </w:p>
    <w:p w14:paraId="76C285BB" w14:textId="75360931" w:rsidR="00D33ABD" w:rsidRDefault="00D33ABD">
      <w:pPr>
        <w:pStyle w:val="ListParagraph"/>
        <w:numPr>
          <w:ilvl w:val="1"/>
          <w:numId w:val="2"/>
        </w:numPr>
        <w:rPr>
          <w:b/>
          <w:bCs/>
          <w:lang w:val="en-GB"/>
        </w:rPr>
      </w:pPr>
      <w:r>
        <w:rPr>
          <w:b/>
          <w:bCs/>
          <w:lang w:val="en-GB"/>
        </w:rPr>
        <w:t>Quality Assessment</w:t>
      </w:r>
    </w:p>
    <w:p w14:paraId="7B14E725" w14:textId="56ADEFBE" w:rsidR="00FF2993" w:rsidRDefault="00FF2993" w:rsidP="00FF2993">
      <w:pPr>
        <w:pStyle w:val="ListParagraph"/>
        <w:ind w:left="786"/>
        <w:rPr>
          <w:lang w:val="en-GB"/>
        </w:rPr>
      </w:pPr>
      <w:r w:rsidRPr="00FF2993">
        <w:rPr>
          <w:lang w:val="en-GB"/>
        </w:rPr>
        <w:t>The C</w:t>
      </w:r>
      <w:r w:rsidR="00FA325F">
        <w:rPr>
          <w:lang w:val="en-GB"/>
        </w:rPr>
        <w:t xml:space="preserve">ritical </w:t>
      </w:r>
      <w:r w:rsidRPr="00FF2993">
        <w:rPr>
          <w:lang w:val="en-GB"/>
        </w:rPr>
        <w:t>A</w:t>
      </w:r>
      <w:r w:rsidR="00FA325F">
        <w:rPr>
          <w:lang w:val="en-GB"/>
        </w:rPr>
        <w:t xml:space="preserve">ppraisal </w:t>
      </w:r>
      <w:r w:rsidRPr="00FF2993">
        <w:rPr>
          <w:lang w:val="en-GB"/>
        </w:rPr>
        <w:t>S</w:t>
      </w:r>
      <w:r w:rsidR="00634E94">
        <w:rPr>
          <w:lang w:val="en-GB"/>
        </w:rPr>
        <w:t xml:space="preserve">kills </w:t>
      </w:r>
      <w:r w:rsidRPr="00FF2993">
        <w:rPr>
          <w:lang w:val="en-GB"/>
        </w:rPr>
        <w:t>P</w:t>
      </w:r>
      <w:r w:rsidR="00634E94">
        <w:rPr>
          <w:lang w:val="en-GB"/>
        </w:rPr>
        <w:t>rogramme</w:t>
      </w:r>
      <w:r w:rsidR="00896DC9">
        <w:rPr>
          <w:lang w:val="en-GB"/>
        </w:rPr>
        <w:t xml:space="preserve"> (CASP)</w:t>
      </w:r>
      <w:r w:rsidRPr="00FF2993">
        <w:rPr>
          <w:lang w:val="en-GB"/>
        </w:rPr>
        <w:t xml:space="preserve"> checklist</w:t>
      </w:r>
      <w:r w:rsidR="00634E94">
        <w:rPr>
          <w:lang w:val="en-GB"/>
        </w:rPr>
        <w:t>s</w:t>
      </w:r>
      <w:r w:rsidRPr="00FF2993">
        <w:rPr>
          <w:lang w:val="en-GB"/>
        </w:rPr>
        <w:t xml:space="preserve"> w</w:t>
      </w:r>
      <w:r w:rsidR="00634E94">
        <w:rPr>
          <w:lang w:val="en-GB"/>
        </w:rPr>
        <w:t>ere</w:t>
      </w:r>
      <w:r w:rsidRPr="00FF2993">
        <w:rPr>
          <w:lang w:val="en-GB"/>
        </w:rPr>
        <w:t xml:space="preserve"> used to determine and evaluate the risk of bias for each study included</w:t>
      </w:r>
      <w:r w:rsidR="007A0AA2">
        <w:rPr>
          <w:lang w:val="en-GB"/>
        </w:rPr>
        <w:t xml:space="preserve"> [2</w:t>
      </w:r>
      <w:r w:rsidR="005328D5">
        <w:rPr>
          <w:lang w:val="en-GB"/>
        </w:rPr>
        <w:t>7]</w:t>
      </w:r>
      <w:r>
        <w:rPr>
          <w:lang w:val="en-GB"/>
        </w:rPr>
        <w:t xml:space="preserve">. </w:t>
      </w:r>
      <w:r w:rsidR="00EF0382">
        <w:rPr>
          <w:lang w:val="en-GB"/>
        </w:rPr>
        <w:t xml:space="preserve">Due to heterogeneity of </w:t>
      </w:r>
      <w:r w:rsidR="0058657C">
        <w:rPr>
          <w:lang w:val="en-GB"/>
        </w:rPr>
        <w:t xml:space="preserve">included studies, </w:t>
      </w:r>
      <w:r w:rsidR="00D90162">
        <w:rPr>
          <w:lang w:val="en-GB"/>
        </w:rPr>
        <w:t xml:space="preserve">three versions of the CASP checklist were used in assessment of study quality: CASP </w:t>
      </w:r>
      <w:r w:rsidR="00D345DF">
        <w:rPr>
          <w:lang w:val="en-GB"/>
        </w:rPr>
        <w:t>R</w:t>
      </w:r>
      <w:r w:rsidR="00D90162">
        <w:rPr>
          <w:lang w:val="en-GB"/>
        </w:rPr>
        <w:t>andomised Control Trial Checklist</w:t>
      </w:r>
      <w:r w:rsidR="00BB7A3B">
        <w:rPr>
          <w:lang w:val="en-GB"/>
        </w:rPr>
        <w:t xml:space="preserve"> [Appendix IV]</w:t>
      </w:r>
      <w:r w:rsidR="00D90162">
        <w:rPr>
          <w:lang w:val="en-GB"/>
        </w:rPr>
        <w:t>, CASP Qualitative Studies Checklist</w:t>
      </w:r>
      <w:r w:rsidR="00BB7A3B">
        <w:rPr>
          <w:lang w:val="en-GB"/>
        </w:rPr>
        <w:t xml:space="preserve"> [Appendix V]</w:t>
      </w:r>
      <w:r w:rsidR="00D90162">
        <w:rPr>
          <w:lang w:val="en-GB"/>
        </w:rPr>
        <w:t>, and CASP Cohort Studies Checklist</w:t>
      </w:r>
      <w:r w:rsidR="00BB7A3B">
        <w:rPr>
          <w:lang w:val="en-GB"/>
        </w:rPr>
        <w:t xml:space="preserve"> [Appendix VI]</w:t>
      </w:r>
      <w:r w:rsidR="00D90162">
        <w:rPr>
          <w:lang w:val="en-GB"/>
        </w:rPr>
        <w:t xml:space="preserve">. </w:t>
      </w:r>
      <w:r w:rsidR="00C857CD">
        <w:rPr>
          <w:lang w:val="en-GB"/>
        </w:rPr>
        <w:t xml:space="preserve">As no CASP checklist is currently available for mixed-methods studies, elements of </w:t>
      </w:r>
      <w:r w:rsidR="00D345DF">
        <w:rPr>
          <w:lang w:val="en-GB"/>
        </w:rPr>
        <w:t>the CASP Qualitative Studies Checklist and CASP Cohort Studies Checklist were combined to evaluate mixed methodologies</w:t>
      </w:r>
      <w:r w:rsidR="00BB7A3B">
        <w:rPr>
          <w:lang w:val="en-GB"/>
        </w:rPr>
        <w:t xml:space="preserve"> [Appendix VII]</w:t>
      </w:r>
      <w:r w:rsidR="00D345DF">
        <w:rPr>
          <w:lang w:val="en-GB"/>
        </w:rPr>
        <w:t xml:space="preserve">. </w:t>
      </w:r>
      <w:r w:rsidR="008258E4">
        <w:rPr>
          <w:lang w:val="en-GB"/>
        </w:rPr>
        <w:t xml:space="preserve">S.B. reviewed all included studies and </w:t>
      </w:r>
      <w:r w:rsidR="0004200E">
        <w:rPr>
          <w:lang w:val="en-GB"/>
        </w:rPr>
        <w:t xml:space="preserve">a second reviewer (either H.K. or L.S.) completed an independent quality appraisal. Any </w:t>
      </w:r>
      <w:r w:rsidR="0004200E" w:rsidRPr="00A12A0C">
        <w:rPr>
          <w:lang w:val="en-GB"/>
        </w:rPr>
        <w:t xml:space="preserve">disagreements between individual judges </w:t>
      </w:r>
      <w:r w:rsidR="0004200E">
        <w:rPr>
          <w:lang w:val="en-GB"/>
        </w:rPr>
        <w:t>were</w:t>
      </w:r>
      <w:r w:rsidR="0004200E" w:rsidRPr="00A12A0C">
        <w:rPr>
          <w:lang w:val="en-GB"/>
        </w:rPr>
        <w:t xml:space="preserve"> resolved through discussion with the </w:t>
      </w:r>
      <w:r w:rsidR="0004200E">
        <w:rPr>
          <w:lang w:val="en-GB"/>
        </w:rPr>
        <w:t>reviewer who was not initially assigned the paper (either H.K. or L.S.).</w:t>
      </w:r>
      <w:r w:rsidR="006E5165">
        <w:rPr>
          <w:lang w:val="en-GB"/>
        </w:rPr>
        <w:t xml:space="preserve"> In line with CASP recommendations, </w:t>
      </w:r>
      <w:r w:rsidR="00506949">
        <w:rPr>
          <w:lang w:val="en-GB"/>
        </w:rPr>
        <w:t>no numerical grading of quality was undertaken</w:t>
      </w:r>
      <w:r w:rsidR="00FD3B91">
        <w:rPr>
          <w:lang w:val="en-GB"/>
        </w:rPr>
        <w:t xml:space="preserve">. Studies were instead </w:t>
      </w:r>
      <w:r w:rsidR="009315E7">
        <w:rPr>
          <w:lang w:val="en-GB"/>
        </w:rPr>
        <w:t xml:space="preserve">categorised as being of </w:t>
      </w:r>
      <w:r w:rsidR="00183B26">
        <w:rPr>
          <w:lang w:val="en-GB"/>
        </w:rPr>
        <w:t>high, medium</w:t>
      </w:r>
      <w:r w:rsidR="00FD3B91">
        <w:rPr>
          <w:lang w:val="en-GB"/>
        </w:rPr>
        <w:t xml:space="preserve">, or low quality according to </w:t>
      </w:r>
      <w:r w:rsidR="009315E7">
        <w:rPr>
          <w:lang w:val="en-GB"/>
        </w:rPr>
        <w:t xml:space="preserve">assessor </w:t>
      </w:r>
      <w:r w:rsidR="00FD3B91">
        <w:rPr>
          <w:lang w:val="en-GB"/>
        </w:rPr>
        <w:t>judgements.</w:t>
      </w:r>
    </w:p>
    <w:p w14:paraId="319795DF" w14:textId="77777777" w:rsidR="00D345DF" w:rsidRPr="00FF2993" w:rsidRDefault="00D345DF" w:rsidP="00FF2993">
      <w:pPr>
        <w:pStyle w:val="ListParagraph"/>
        <w:ind w:left="786"/>
        <w:rPr>
          <w:lang w:val="en-GB"/>
        </w:rPr>
      </w:pPr>
    </w:p>
    <w:p w14:paraId="1A1A1B1C" w14:textId="28C9D19C" w:rsidR="00D33ABD" w:rsidRDefault="00D33ABD">
      <w:pPr>
        <w:pStyle w:val="ListParagraph"/>
        <w:numPr>
          <w:ilvl w:val="1"/>
          <w:numId w:val="2"/>
        </w:numPr>
        <w:rPr>
          <w:b/>
          <w:bCs/>
          <w:lang w:val="en-GB"/>
        </w:rPr>
      </w:pPr>
      <w:r>
        <w:rPr>
          <w:b/>
          <w:bCs/>
          <w:lang w:val="en-GB"/>
        </w:rPr>
        <w:t>Synthesis of Results</w:t>
      </w:r>
    </w:p>
    <w:p w14:paraId="7DD613BB" w14:textId="076C1A7C" w:rsidR="00CF4698" w:rsidRDefault="1B28F874" w:rsidP="00CF4698">
      <w:pPr>
        <w:pStyle w:val="ListParagraph"/>
        <w:ind w:left="786"/>
        <w:rPr>
          <w:lang w:val="en-GB"/>
        </w:rPr>
      </w:pPr>
      <w:r w:rsidRPr="141E890C">
        <w:rPr>
          <w:lang w:val="en-GB"/>
        </w:rPr>
        <w:lastRenderedPageBreak/>
        <w:t>Studies were grouped together by</w:t>
      </w:r>
      <w:r w:rsidR="483A63B1" w:rsidRPr="141E890C">
        <w:rPr>
          <w:lang w:val="en-GB"/>
        </w:rPr>
        <w:t>:</w:t>
      </w:r>
      <w:r w:rsidRPr="141E890C">
        <w:rPr>
          <w:lang w:val="en-GB"/>
        </w:rPr>
        <w:t xml:space="preserve"> </w:t>
      </w:r>
      <w:r w:rsidR="0248DF4D" w:rsidRPr="141E890C">
        <w:rPr>
          <w:lang w:val="en-GB"/>
        </w:rPr>
        <w:t xml:space="preserve">(i) </w:t>
      </w:r>
      <w:r w:rsidR="1148307D" w:rsidRPr="141E890C">
        <w:rPr>
          <w:lang w:val="en-GB"/>
        </w:rPr>
        <w:t>outcomes</w:t>
      </w:r>
      <w:r w:rsidR="115DA047" w:rsidRPr="141E890C">
        <w:rPr>
          <w:lang w:val="en-GB"/>
        </w:rPr>
        <w:t xml:space="preserve"> (</w:t>
      </w:r>
      <w:r w:rsidR="239F8247" w:rsidRPr="141E890C">
        <w:rPr>
          <w:lang w:val="en-GB"/>
        </w:rPr>
        <w:t xml:space="preserve">factors influencing medication adherence, </w:t>
      </w:r>
      <w:r w:rsidR="0DDE6F07" w:rsidRPr="141E890C">
        <w:rPr>
          <w:lang w:val="en-GB"/>
        </w:rPr>
        <w:t>interventions targeting medication adherence</w:t>
      </w:r>
      <w:r w:rsidR="6B849EE2" w:rsidRPr="141E890C">
        <w:rPr>
          <w:lang w:val="en-GB"/>
        </w:rPr>
        <w:t>, methods of measuring medication adherence)</w:t>
      </w:r>
      <w:r w:rsidR="0248DF4D" w:rsidRPr="141E890C">
        <w:rPr>
          <w:lang w:val="en-GB"/>
        </w:rPr>
        <w:t xml:space="preserve"> and (ii) study design (quantitative, qualitative, and </w:t>
      </w:r>
      <w:r w:rsidR="00047D9B" w:rsidRPr="141E890C">
        <w:rPr>
          <w:lang w:val="en-GB"/>
        </w:rPr>
        <w:t>mixed methods</w:t>
      </w:r>
      <w:r w:rsidR="0248DF4D" w:rsidRPr="141E890C">
        <w:rPr>
          <w:lang w:val="en-GB"/>
        </w:rPr>
        <w:t xml:space="preserve">). </w:t>
      </w:r>
      <w:r w:rsidR="6FA609ED" w:rsidRPr="141E890C">
        <w:rPr>
          <w:lang w:val="en-GB"/>
        </w:rPr>
        <w:t>Due to heterogeneity in study design, patient subgroups</w:t>
      </w:r>
      <w:r w:rsidR="00584BFC">
        <w:rPr>
          <w:lang w:val="en-GB"/>
        </w:rPr>
        <w:t>,</w:t>
      </w:r>
      <w:r w:rsidR="6FA609ED" w:rsidRPr="141E890C">
        <w:rPr>
          <w:lang w:val="en-GB"/>
        </w:rPr>
        <w:t xml:space="preserve"> and outcome measures, pooling of data</w:t>
      </w:r>
      <w:r w:rsidR="19140934" w:rsidRPr="141E890C">
        <w:rPr>
          <w:lang w:val="en-GB"/>
        </w:rPr>
        <w:t xml:space="preserve"> and formal quanti</w:t>
      </w:r>
      <w:r w:rsidR="006B2AAE">
        <w:rPr>
          <w:lang w:val="en-GB"/>
        </w:rPr>
        <w:t>t</w:t>
      </w:r>
      <w:r w:rsidR="19140934" w:rsidRPr="141E890C">
        <w:rPr>
          <w:lang w:val="en-GB"/>
        </w:rPr>
        <w:t>ative analysis</w:t>
      </w:r>
      <w:r w:rsidR="6FA609ED" w:rsidRPr="141E890C">
        <w:rPr>
          <w:lang w:val="en-GB"/>
        </w:rPr>
        <w:t xml:space="preserve"> could not be carried out. </w:t>
      </w:r>
      <w:r w:rsidR="2B0D6038" w:rsidRPr="141E890C">
        <w:rPr>
          <w:lang w:val="en-GB"/>
        </w:rPr>
        <w:t xml:space="preserve">All </w:t>
      </w:r>
      <w:r w:rsidR="6956448E" w:rsidRPr="141E890C">
        <w:rPr>
          <w:lang w:val="en-GB"/>
        </w:rPr>
        <w:t xml:space="preserve">comparisons made were </w:t>
      </w:r>
      <w:r w:rsidR="6FA609ED" w:rsidRPr="141E890C">
        <w:rPr>
          <w:lang w:val="en-GB"/>
        </w:rPr>
        <w:t xml:space="preserve">instead </w:t>
      </w:r>
      <w:r w:rsidR="6956448E" w:rsidRPr="141E890C">
        <w:rPr>
          <w:lang w:val="en-GB"/>
        </w:rPr>
        <w:t>narratively describe</w:t>
      </w:r>
      <w:r w:rsidR="6FA609ED" w:rsidRPr="141E890C">
        <w:rPr>
          <w:lang w:val="en-GB"/>
        </w:rPr>
        <w:t>d</w:t>
      </w:r>
      <w:r w:rsidR="6956448E" w:rsidRPr="141E890C">
        <w:rPr>
          <w:lang w:val="en-GB"/>
        </w:rPr>
        <w:t>.</w:t>
      </w:r>
    </w:p>
    <w:p w14:paraId="68815962" w14:textId="77777777" w:rsidR="00CF4698" w:rsidRDefault="00CF4698" w:rsidP="00CF4698">
      <w:pPr>
        <w:pStyle w:val="ListParagraph"/>
        <w:ind w:left="786"/>
        <w:rPr>
          <w:lang w:val="en-GB"/>
        </w:rPr>
      </w:pPr>
    </w:p>
    <w:p w14:paraId="0313890A" w14:textId="77777777" w:rsidR="00CF4698" w:rsidRDefault="00CF4698" w:rsidP="00CF4698">
      <w:pPr>
        <w:pStyle w:val="ListParagraph"/>
        <w:ind w:left="786"/>
        <w:rPr>
          <w:lang w:val="en-GB"/>
        </w:rPr>
      </w:pPr>
    </w:p>
    <w:p w14:paraId="50C813D5" w14:textId="58A6E472" w:rsidR="003844CB" w:rsidRDefault="00CF4698">
      <w:pPr>
        <w:pStyle w:val="ListParagraph"/>
        <w:numPr>
          <w:ilvl w:val="0"/>
          <w:numId w:val="2"/>
        </w:numPr>
        <w:rPr>
          <w:b/>
          <w:bCs/>
          <w:lang w:val="en-GB"/>
        </w:rPr>
      </w:pPr>
      <w:r w:rsidRPr="00CF4698">
        <w:rPr>
          <w:b/>
          <w:bCs/>
          <w:lang w:val="en-GB"/>
        </w:rPr>
        <w:t xml:space="preserve">Results </w:t>
      </w:r>
    </w:p>
    <w:p w14:paraId="16D44C88" w14:textId="7DD3A507" w:rsidR="00CF4698" w:rsidRDefault="001A2B39">
      <w:pPr>
        <w:pStyle w:val="ListParagraph"/>
        <w:numPr>
          <w:ilvl w:val="1"/>
          <w:numId w:val="2"/>
        </w:numPr>
        <w:rPr>
          <w:b/>
          <w:bCs/>
          <w:lang w:val="en-GB"/>
        </w:rPr>
      </w:pPr>
      <w:r>
        <w:rPr>
          <w:b/>
          <w:bCs/>
          <w:lang w:val="en-GB"/>
        </w:rPr>
        <w:t>Study Selection</w:t>
      </w:r>
    </w:p>
    <w:p w14:paraId="6DD06C2A" w14:textId="68CFAF48" w:rsidR="00750547" w:rsidRDefault="00750547" w:rsidP="00750547">
      <w:pPr>
        <w:pStyle w:val="ListParagraph"/>
        <w:rPr>
          <w:lang w:val="en-GB"/>
        </w:rPr>
      </w:pPr>
      <w:r w:rsidRPr="00057E41">
        <w:rPr>
          <w:lang w:val="en-GB"/>
        </w:rPr>
        <w:t>Data</w:t>
      </w:r>
      <w:r>
        <w:rPr>
          <w:lang w:val="en-GB"/>
        </w:rPr>
        <w:t>base searches identified 8,663 unique results. Duplicate records and retracted papers were removed, with 6173 papers remaining for screening by title and abstract. 232 of these papers were retrieved for full text screening. A total of 17 studies were selected for review, 9 of which were later excluded as data pertaining to those with acquired communication disorders could not be extracted or obtained from study authors. The remaining 8 papers [28, 29, 30, 31, 32, 33, 34, 35] met the inclusion criteria and were included for data extraction</w:t>
      </w:r>
      <w:r w:rsidR="00B46DED">
        <w:rPr>
          <w:lang w:val="en-GB"/>
        </w:rPr>
        <w:t xml:space="preserve"> (Figure 1).</w:t>
      </w:r>
    </w:p>
    <w:p w14:paraId="0164CD7D" w14:textId="77777777" w:rsidR="00B46DED" w:rsidRDefault="00B46DED" w:rsidP="00B46DED">
      <w:pPr>
        <w:pStyle w:val="ListParagraph"/>
        <w:ind w:left="786"/>
        <w:rPr>
          <w:noProof/>
        </w:rPr>
      </w:pPr>
    </w:p>
    <w:p w14:paraId="4ACE2F74" w14:textId="77777777" w:rsidR="00B46DED" w:rsidRDefault="00B46DED" w:rsidP="00B46DED">
      <w:pPr>
        <w:pStyle w:val="ListParagraph"/>
        <w:ind w:left="786"/>
        <w:rPr>
          <w:noProof/>
        </w:rPr>
      </w:pPr>
    </w:p>
    <w:p w14:paraId="4DA23853" w14:textId="7E6F2FEE" w:rsidR="00B46DED" w:rsidRDefault="00B46DED" w:rsidP="00B46DED">
      <w:pPr>
        <w:pStyle w:val="ListParagraph"/>
        <w:ind w:left="786"/>
        <w:rPr>
          <w:lang w:val="en-GB"/>
        </w:rPr>
      </w:pPr>
      <w:r w:rsidRPr="00243BCA">
        <w:rPr>
          <w:b/>
          <w:bCs/>
          <w:lang w:val="en-GB"/>
        </w:rPr>
        <w:lastRenderedPageBreak/>
        <w:t>Figure 1</w:t>
      </w:r>
      <w:r>
        <w:rPr>
          <w:lang w:val="en-GB"/>
        </w:rPr>
        <w:t xml:space="preserve"> - </w:t>
      </w:r>
      <w:r w:rsidRPr="0059591B">
        <w:rPr>
          <w:lang w:val="en-GB"/>
        </w:rPr>
        <w:t>Study selection process for systematic review</w:t>
      </w:r>
      <w:r>
        <w:rPr>
          <w:lang w:val="en-GB"/>
        </w:rPr>
        <w:t xml:space="preserve"> of medication adherence for people with acquired communication disorders. </w:t>
      </w:r>
      <w:r>
        <w:rPr>
          <w:noProof/>
        </w:rPr>
        <w:drawing>
          <wp:inline distT="0" distB="0" distL="0" distR="0" wp14:anchorId="0FB4C561" wp14:editId="220AD5AC">
            <wp:extent cx="4838700" cy="7076451"/>
            <wp:effectExtent l="0" t="0" r="0" b="0"/>
            <wp:docPr id="1160017125" name="Picture 1160017125" descr="A flowchart of inform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805922" name="Picture 1" descr="A flowchart of information&#10;&#10;Description automatically generated"/>
                    <pic:cNvPicPr/>
                  </pic:nvPicPr>
                  <pic:blipFill>
                    <a:blip r:embed="rId8"/>
                    <a:stretch>
                      <a:fillRect/>
                    </a:stretch>
                  </pic:blipFill>
                  <pic:spPr>
                    <a:xfrm>
                      <a:off x="0" y="0"/>
                      <a:ext cx="4848021" cy="7090083"/>
                    </a:xfrm>
                    <a:prstGeom prst="rect">
                      <a:avLst/>
                    </a:prstGeom>
                  </pic:spPr>
                </pic:pic>
              </a:graphicData>
            </a:graphic>
          </wp:inline>
        </w:drawing>
      </w:r>
    </w:p>
    <w:p w14:paraId="5C3EC079" w14:textId="2AA8FBA2" w:rsidR="00B46DED" w:rsidRDefault="00B46DED" w:rsidP="00B46DED">
      <w:pPr>
        <w:pStyle w:val="ListParagraph"/>
        <w:ind w:left="786"/>
        <w:rPr>
          <w:lang w:val="en-GB"/>
        </w:rPr>
      </w:pPr>
    </w:p>
    <w:p w14:paraId="2CBE017D" w14:textId="77777777" w:rsidR="00B46DED" w:rsidRDefault="00B46DED" w:rsidP="00750547">
      <w:pPr>
        <w:pStyle w:val="ListParagraph"/>
        <w:rPr>
          <w:lang w:val="en-GB"/>
        </w:rPr>
      </w:pPr>
    </w:p>
    <w:p w14:paraId="14F09D54" w14:textId="77777777" w:rsidR="00750547" w:rsidRDefault="00750547" w:rsidP="00750547">
      <w:pPr>
        <w:pStyle w:val="ListParagraph"/>
        <w:rPr>
          <w:b/>
          <w:bCs/>
          <w:lang w:val="en-GB"/>
        </w:rPr>
      </w:pPr>
    </w:p>
    <w:p w14:paraId="0AC4A35D" w14:textId="35D0BEC6" w:rsidR="00750547" w:rsidRDefault="00750547">
      <w:pPr>
        <w:pStyle w:val="ListParagraph"/>
        <w:numPr>
          <w:ilvl w:val="1"/>
          <w:numId w:val="2"/>
        </w:numPr>
        <w:rPr>
          <w:b/>
          <w:bCs/>
          <w:lang w:val="en-GB"/>
        </w:rPr>
      </w:pPr>
      <w:r>
        <w:rPr>
          <w:b/>
          <w:bCs/>
          <w:lang w:val="en-GB"/>
        </w:rPr>
        <w:t>Characteristics of included studies</w:t>
      </w:r>
    </w:p>
    <w:p w14:paraId="7FCC2EF3" w14:textId="42B46C33" w:rsidR="00795219" w:rsidRDefault="0E921DDD">
      <w:pPr>
        <w:pStyle w:val="ListParagraph"/>
        <w:rPr>
          <w:lang w:val="en-GB"/>
        </w:rPr>
      </w:pPr>
      <w:r w:rsidRPr="324F9C90">
        <w:rPr>
          <w:lang w:val="en-GB"/>
        </w:rPr>
        <w:t xml:space="preserve">The </w:t>
      </w:r>
      <w:r w:rsidR="7E42F8AD" w:rsidRPr="324F9C90">
        <w:rPr>
          <w:lang w:val="en-GB"/>
        </w:rPr>
        <w:t>c</w:t>
      </w:r>
      <w:r w:rsidRPr="324F9C90">
        <w:rPr>
          <w:lang w:val="en-GB"/>
        </w:rPr>
        <w:t xml:space="preserve">haracteristics of the </w:t>
      </w:r>
      <w:r w:rsidR="7E42F8AD" w:rsidRPr="324F9C90">
        <w:rPr>
          <w:lang w:val="en-GB"/>
        </w:rPr>
        <w:t xml:space="preserve">included </w:t>
      </w:r>
      <w:r w:rsidRPr="324F9C90">
        <w:rPr>
          <w:lang w:val="en-GB"/>
        </w:rPr>
        <w:t xml:space="preserve">studies are </w:t>
      </w:r>
      <w:r w:rsidR="03C2C1D3" w:rsidRPr="324F9C90">
        <w:rPr>
          <w:lang w:val="en-GB"/>
        </w:rPr>
        <w:t xml:space="preserve">presented in Table </w:t>
      </w:r>
      <w:r w:rsidR="34EBA0D0" w:rsidRPr="324F9C90">
        <w:rPr>
          <w:lang w:val="en-GB"/>
        </w:rPr>
        <w:t>1</w:t>
      </w:r>
      <w:r w:rsidR="68F3643D" w:rsidRPr="324F9C90">
        <w:rPr>
          <w:lang w:val="en-GB"/>
        </w:rPr>
        <w:t>a and Table 1b</w:t>
      </w:r>
      <w:r w:rsidR="44CF569B" w:rsidRPr="324F9C90">
        <w:rPr>
          <w:lang w:val="en-GB"/>
        </w:rPr>
        <w:t>.</w:t>
      </w:r>
      <w:r w:rsidR="030E5BBC" w:rsidRPr="324F9C90">
        <w:rPr>
          <w:lang w:val="en-GB"/>
        </w:rPr>
        <w:t xml:space="preserve"> </w:t>
      </w:r>
      <w:r w:rsidR="44CF569B" w:rsidRPr="324F9C90">
        <w:rPr>
          <w:lang w:val="en-GB"/>
        </w:rPr>
        <w:t>F</w:t>
      </w:r>
      <w:r w:rsidR="6D72D20F" w:rsidRPr="324F9C90">
        <w:rPr>
          <w:lang w:val="en-GB"/>
        </w:rPr>
        <w:t>our</w:t>
      </w:r>
      <w:r w:rsidR="48F57E85" w:rsidRPr="324F9C90">
        <w:rPr>
          <w:lang w:val="en-GB"/>
        </w:rPr>
        <w:t xml:space="preserve"> of the studies </w:t>
      </w:r>
      <w:r w:rsidR="5445DBEB" w:rsidRPr="324F9C90">
        <w:rPr>
          <w:lang w:val="en-GB"/>
        </w:rPr>
        <w:t>presented information relating to current interventions which target medication adherence for people with acquired communication disorders [</w:t>
      </w:r>
      <w:r w:rsidR="6D72D20F" w:rsidRPr="324F9C90">
        <w:rPr>
          <w:lang w:val="en-GB"/>
        </w:rPr>
        <w:t xml:space="preserve">31, </w:t>
      </w:r>
      <w:r w:rsidR="5676C7A9" w:rsidRPr="324F9C90">
        <w:rPr>
          <w:lang w:val="en-GB"/>
        </w:rPr>
        <w:t>32, 34, 35].</w:t>
      </w:r>
      <w:r w:rsidR="44CF569B" w:rsidRPr="324F9C90">
        <w:rPr>
          <w:lang w:val="en-GB"/>
        </w:rPr>
        <w:t xml:space="preserve"> Four of the </w:t>
      </w:r>
      <w:r w:rsidR="44CF569B" w:rsidRPr="324F9C90">
        <w:rPr>
          <w:lang w:val="en-GB"/>
        </w:rPr>
        <w:lastRenderedPageBreak/>
        <w:t>studies investigated factors which influence medication adherence for people with acquired communication disorders [28, 29, 30, 33].</w:t>
      </w:r>
      <w:r w:rsidR="7AF96BB1" w:rsidRPr="324F9C90">
        <w:rPr>
          <w:lang w:val="en-GB"/>
        </w:rPr>
        <w:t xml:space="preserve"> </w:t>
      </w:r>
      <w:r w:rsidR="5C0756B6" w:rsidRPr="324F9C90">
        <w:rPr>
          <w:lang w:val="en-GB"/>
        </w:rPr>
        <w:t>Seven</w:t>
      </w:r>
      <w:r w:rsidR="7AF96BB1" w:rsidRPr="324F9C90">
        <w:rPr>
          <w:lang w:val="en-GB"/>
        </w:rPr>
        <w:t xml:space="preserve"> of the</w:t>
      </w:r>
      <w:r w:rsidR="1B8EE6DE" w:rsidRPr="324F9C90">
        <w:rPr>
          <w:lang w:val="en-GB"/>
        </w:rPr>
        <w:t>se studies</w:t>
      </w:r>
      <w:r w:rsidR="7AF96BB1" w:rsidRPr="324F9C90">
        <w:rPr>
          <w:lang w:val="en-GB"/>
        </w:rPr>
        <w:t xml:space="preserve"> outlined methods used for measuring medication adherence </w:t>
      </w:r>
      <w:r w:rsidR="046F898E" w:rsidRPr="324F9C90">
        <w:rPr>
          <w:lang w:val="en-GB"/>
        </w:rPr>
        <w:t xml:space="preserve">[28, 29, 31, 32, 33, 34, 35]. </w:t>
      </w:r>
      <w:r w:rsidR="05E8042E" w:rsidRPr="324F9C90">
        <w:rPr>
          <w:lang w:val="en-GB"/>
        </w:rPr>
        <w:t xml:space="preserve"> </w:t>
      </w:r>
      <w:r w:rsidR="3200FD36" w:rsidRPr="324F9C90">
        <w:rPr>
          <w:lang w:val="en-GB"/>
        </w:rPr>
        <w:t>S</w:t>
      </w:r>
      <w:r w:rsidR="05E8042E" w:rsidRPr="324F9C90">
        <w:rPr>
          <w:lang w:val="en-GB"/>
        </w:rPr>
        <w:t>tudy design</w:t>
      </w:r>
      <w:r w:rsidR="5AD20DA9" w:rsidRPr="324F9C90">
        <w:rPr>
          <w:lang w:val="en-GB"/>
        </w:rPr>
        <w:t xml:space="preserve">s </w:t>
      </w:r>
      <w:r w:rsidR="5E408102" w:rsidRPr="324F9C90">
        <w:rPr>
          <w:lang w:val="en-GB"/>
        </w:rPr>
        <w:t>employed</w:t>
      </w:r>
      <w:r w:rsidR="44CF569B" w:rsidRPr="324F9C90">
        <w:rPr>
          <w:lang w:val="en-GB"/>
        </w:rPr>
        <w:t xml:space="preserve"> </w:t>
      </w:r>
      <w:r w:rsidR="5AD20DA9" w:rsidRPr="324F9C90">
        <w:rPr>
          <w:lang w:val="en-GB"/>
        </w:rPr>
        <w:t>includ</w:t>
      </w:r>
      <w:r w:rsidR="3200FD36" w:rsidRPr="324F9C90">
        <w:rPr>
          <w:lang w:val="en-GB"/>
        </w:rPr>
        <w:t>ed</w:t>
      </w:r>
      <w:r w:rsidR="5AD20DA9" w:rsidRPr="324F9C90">
        <w:rPr>
          <w:lang w:val="en-GB"/>
        </w:rPr>
        <w:t xml:space="preserve"> five cohort studies </w:t>
      </w:r>
      <w:r w:rsidR="04D726B2" w:rsidRPr="324F9C90">
        <w:rPr>
          <w:lang w:val="en-GB"/>
        </w:rPr>
        <w:t>[28, 29</w:t>
      </w:r>
      <w:r w:rsidR="106B7962" w:rsidRPr="324F9C90">
        <w:rPr>
          <w:lang w:val="en-GB"/>
        </w:rPr>
        <w:t>, 32, 33</w:t>
      </w:r>
      <w:r w:rsidR="7AEB377B" w:rsidRPr="324F9C90">
        <w:rPr>
          <w:lang w:val="en-GB"/>
        </w:rPr>
        <w:t>, 34]</w:t>
      </w:r>
      <w:r w:rsidR="277B021D" w:rsidRPr="324F9C90">
        <w:rPr>
          <w:lang w:val="en-GB"/>
        </w:rPr>
        <w:t xml:space="preserve"> one randomised control trial [</w:t>
      </w:r>
      <w:r w:rsidR="0E7EC548" w:rsidRPr="324F9C90">
        <w:rPr>
          <w:lang w:val="en-GB"/>
        </w:rPr>
        <w:t xml:space="preserve">35], one qualitative </w:t>
      </w:r>
      <w:r w:rsidR="44CF569B" w:rsidRPr="324F9C90">
        <w:rPr>
          <w:lang w:val="en-GB"/>
        </w:rPr>
        <w:t xml:space="preserve">study </w:t>
      </w:r>
      <w:r w:rsidR="0E7EC548" w:rsidRPr="324F9C90">
        <w:rPr>
          <w:lang w:val="en-GB"/>
        </w:rPr>
        <w:t>[</w:t>
      </w:r>
      <w:r w:rsidR="11AD74A5" w:rsidRPr="324F9C90">
        <w:rPr>
          <w:lang w:val="en-GB"/>
        </w:rPr>
        <w:t>30] and one mixed-methods</w:t>
      </w:r>
      <w:r w:rsidR="7C48536A" w:rsidRPr="324F9C90">
        <w:rPr>
          <w:lang w:val="en-GB"/>
        </w:rPr>
        <w:t xml:space="preserve"> study</w:t>
      </w:r>
      <w:r w:rsidR="11AD74A5" w:rsidRPr="324F9C90">
        <w:rPr>
          <w:lang w:val="en-GB"/>
        </w:rPr>
        <w:t xml:space="preserve"> [31].</w:t>
      </w:r>
      <w:r w:rsidR="7F4C060E" w:rsidRPr="324F9C90">
        <w:rPr>
          <w:lang w:val="en-GB"/>
        </w:rPr>
        <w:t xml:space="preserve"> Seven of the studies address medication adherence [29,30,31,32,33,34,35], with one study focusing on medication persistence [28], </w:t>
      </w:r>
      <w:r w:rsidR="4ED65C20" w:rsidRPr="324F9C90">
        <w:rPr>
          <w:lang w:val="en-GB"/>
        </w:rPr>
        <w:t xml:space="preserve">generally </w:t>
      </w:r>
      <w:r w:rsidR="7F4C060E" w:rsidRPr="324F9C90">
        <w:rPr>
          <w:lang w:val="en-GB"/>
        </w:rPr>
        <w:t xml:space="preserve">defined as </w:t>
      </w:r>
      <w:r w:rsidR="038EB2A4" w:rsidRPr="324F9C90">
        <w:rPr>
          <w:lang w:val="en-GB"/>
        </w:rPr>
        <w:t>the</w:t>
      </w:r>
      <w:r w:rsidR="7F4C060E" w:rsidRPr="324F9C90">
        <w:rPr>
          <w:lang w:val="en-GB"/>
        </w:rPr>
        <w:t xml:space="preserve"> time</w:t>
      </w:r>
      <w:r w:rsidR="6C5A0242" w:rsidRPr="324F9C90">
        <w:rPr>
          <w:lang w:val="en-GB"/>
        </w:rPr>
        <w:t xml:space="preserve"> over which </w:t>
      </w:r>
      <w:r w:rsidR="4E92F5A4" w:rsidRPr="324F9C90">
        <w:rPr>
          <w:lang w:val="en-GB"/>
        </w:rPr>
        <w:t>a patient continues their medication (and in this study, continuation at 3 months)</w:t>
      </w:r>
      <w:r w:rsidR="7F4C060E" w:rsidRPr="324F9C90">
        <w:rPr>
          <w:lang w:val="en-GB"/>
        </w:rPr>
        <w:t xml:space="preserve">. </w:t>
      </w:r>
    </w:p>
    <w:p w14:paraId="46DE099C" w14:textId="390BE117" w:rsidR="00A67149" w:rsidRDefault="364B0BDA" w:rsidP="00795219">
      <w:pPr>
        <w:pStyle w:val="ListParagraph"/>
        <w:rPr>
          <w:lang w:val="en-GB"/>
        </w:rPr>
      </w:pPr>
      <w:r w:rsidRPr="141E890C">
        <w:rPr>
          <w:lang w:val="en-GB"/>
        </w:rPr>
        <w:t xml:space="preserve">The included </w:t>
      </w:r>
      <w:r w:rsidR="735C020C" w:rsidRPr="141E890C">
        <w:rPr>
          <w:lang w:val="en-GB"/>
        </w:rPr>
        <w:t>papers</w:t>
      </w:r>
      <w:r w:rsidRPr="141E890C">
        <w:rPr>
          <w:lang w:val="en-GB"/>
        </w:rPr>
        <w:t xml:space="preserve"> </w:t>
      </w:r>
      <w:r w:rsidR="00485E45">
        <w:rPr>
          <w:lang w:val="en-GB"/>
        </w:rPr>
        <w:t xml:space="preserve">recruited a </w:t>
      </w:r>
      <w:r w:rsidR="007D6520">
        <w:rPr>
          <w:lang w:val="en-GB"/>
        </w:rPr>
        <w:t>range</w:t>
      </w:r>
      <w:r w:rsidR="007D6520" w:rsidRPr="141E890C">
        <w:rPr>
          <w:lang w:val="en-GB"/>
        </w:rPr>
        <w:t xml:space="preserve"> </w:t>
      </w:r>
      <w:r w:rsidRPr="141E890C">
        <w:rPr>
          <w:lang w:val="en-GB"/>
        </w:rPr>
        <w:t>of patient populations</w:t>
      </w:r>
      <w:r w:rsidR="0681AE70" w:rsidRPr="141E890C">
        <w:rPr>
          <w:lang w:val="en-GB"/>
        </w:rPr>
        <w:t xml:space="preserve">, including </w:t>
      </w:r>
      <w:r w:rsidR="22445FDF" w:rsidRPr="141E890C">
        <w:rPr>
          <w:lang w:val="en-GB"/>
        </w:rPr>
        <w:t>stroke [</w:t>
      </w:r>
      <w:r w:rsidR="0D889566" w:rsidRPr="141E890C">
        <w:rPr>
          <w:lang w:val="en-GB"/>
        </w:rPr>
        <w:t>28</w:t>
      </w:r>
      <w:r w:rsidR="05FB6EE4" w:rsidRPr="141E890C">
        <w:rPr>
          <w:lang w:val="en-GB"/>
        </w:rPr>
        <w:t>, 29</w:t>
      </w:r>
      <w:r w:rsidR="40059108" w:rsidRPr="141E890C">
        <w:rPr>
          <w:lang w:val="en-GB"/>
        </w:rPr>
        <w:t>, 30</w:t>
      </w:r>
      <w:r w:rsidR="57439043" w:rsidRPr="141E890C">
        <w:rPr>
          <w:lang w:val="en-GB"/>
        </w:rPr>
        <w:t>, 31</w:t>
      </w:r>
      <w:r w:rsidR="0D889566" w:rsidRPr="141E890C">
        <w:rPr>
          <w:lang w:val="en-GB"/>
        </w:rPr>
        <w:t>]</w:t>
      </w:r>
      <w:r w:rsidR="486EFABF" w:rsidRPr="141E890C">
        <w:rPr>
          <w:lang w:val="en-GB"/>
        </w:rPr>
        <w:t>, Acquired Brain Injury [32]</w:t>
      </w:r>
      <w:r w:rsidR="53D38489" w:rsidRPr="141E890C">
        <w:rPr>
          <w:lang w:val="en-GB"/>
        </w:rPr>
        <w:t>, Parkinson’s Disease [33]</w:t>
      </w:r>
      <w:r w:rsidR="635B953B" w:rsidRPr="141E890C">
        <w:rPr>
          <w:lang w:val="en-GB"/>
        </w:rPr>
        <w:t>, Alzheimer’s Disease [34</w:t>
      </w:r>
      <w:r w:rsidR="550FD5DF" w:rsidRPr="141E890C">
        <w:rPr>
          <w:lang w:val="en-GB"/>
        </w:rPr>
        <w:t>, 35</w:t>
      </w:r>
      <w:r w:rsidR="635B953B" w:rsidRPr="141E890C">
        <w:rPr>
          <w:lang w:val="en-GB"/>
        </w:rPr>
        <w:t>]</w:t>
      </w:r>
      <w:r w:rsidR="550FD5DF" w:rsidRPr="141E890C">
        <w:rPr>
          <w:lang w:val="en-GB"/>
        </w:rPr>
        <w:t xml:space="preserve"> and mild cognitive impairment</w:t>
      </w:r>
      <w:r w:rsidR="00D96A44">
        <w:rPr>
          <w:lang w:val="en-GB"/>
        </w:rPr>
        <w:t xml:space="preserve"> of unknown aetiology</w:t>
      </w:r>
      <w:r w:rsidR="550FD5DF" w:rsidRPr="141E890C">
        <w:rPr>
          <w:lang w:val="en-GB"/>
        </w:rPr>
        <w:t xml:space="preserve"> [35].</w:t>
      </w:r>
      <w:r w:rsidR="00CB4DAC">
        <w:rPr>
          <w:lang w:val="en-GB"/>
        </w:rPr>
        <w:t xml:space="preserve"> Seven of the eight studies </w:t>
      </w:r>
      <w:r w:rsidR="00E36E85">
        <w:rPr>
          <w:lang w:val="en-GB"/>
        </w:rPr>
        <w:t>focused on a single patient population [28,29,30,31,32,33,34], with one study including patients with both Alzheimer’s Disease and mild cognitive impairment</w:t>
      </w:r>
      <w:r w:rsidR="00B45F00">
        <w:rPr>
          <w:lang w:val="en-GB"/>
        </w:rPr>
        <w:t xml:space="preserve"> </w:t>
      </w:r>
      <w:r w:rsidR="00E36E85">
        <w:rPr>
          <w:lang w:val="en-GB"/>
        </w:rPr>
        <w:t>[35].</w:t>
      </w:r>
      <w:r w:rsidR="550FD5DF" w:rsidRPr="141E890C">
        <w:rPr>
          <w:lang w:val="en-GB"/>
        </w:rPr>
        <w:t xml:space="preserve"> </w:t>
      </w:r>
      <w:r w:rsidR="5B2382D7" w:rsidRPr="141E890C">
        <w:rPr>
          <w:lang w:val="en-GB"/>
        </w:rPr>
        <w:t xml:space="preserve">Indicators of </w:t>
      </w:r>
      <w:r w:rsidR="00564407">
        <w:rPr>
          <w:lang w:val="en-GB"/>
        </w:rPr>
        <w:t xml:space="preserve">participant </w:t>
      </w:r>
      <w:r w:rsidR="5B2382D7" w:rsidRPr="141E890C">
        <w:rPr>
          <w:lang w:val="en-GB"/>
        </w:rPr>
        <w:t xml:space="preserve">communication impairment </w:t>
      </w:r>
      <w:r w:rsidR="00564407">
        <w:rPr>
          <w:lang w:val="en-GB"/>
        </w:rPr>
        <w:t xml:space="preserve">in </w:t>
      </w:r>
      <w:r w:rsidR="5B2382D7" w:rsidRPr="141E890C">
        <w:rPr>
          <w:lang w:val="en-GB"/>
        </w:rPr>
        <w:t xml:space="preserve">these </w:t>
      </w:r>
      <w:r w:rsidR="00564407">
        <w:rPr>
          <w:lang w:val="en-GB"/>
        </w:rPr>
        <w:t>studies</w:t>
      </w:r>
      <w:r w:rsidR="5B2382D7" w:rsidRPr="141E890C">
        <w:rPr>
          <w:lang w:val="en-GB"/>
        </w:rPr>
        <w:t xml:space="preserve"> were </w:t>
      </w:r>
      <w:r w:rsidR="00564407">
        <w:rPr>
          <w:lang w:val="en-GB"/>
        </w:rPr>
        <w:t>varied</w:t>
      </w:r>
      <w:r w:rsidR="77BEFEB3" w:rsidRPr="141E890C">
        <w:rPr>
          <w:lang w:val="en-GB"/>
        </w:rPr>
        <w:t xml:space="preserve">, </w:t>
      </w:r>
      <w:r w:rsidR="0D628DCA" w:rsidRPr="141E890C">
        <w:rPr>
          <w:lang w:val="en-GB"/>
        </w:rPr>
        <w:t>with</w:t>
      </w:r>
      <w:r w:rsidR="06052667" w:rsidRPr="141E890C">
        <w:rPr>
          <w:lang w:val="en-GB"/>
        </w:rPr>
        <w:t xml:space="preserve"> </w:t>
      </w:r>
      <w:r w:rsidR="00366E58" w:rsidRPr="141E890C">
        <w:rPr>
          <w:lang w:val="en-GB"/>
        </w:rPr>
        <w:t>half of the</w:t>
      </w:r>
      <w:r w:rsidR="0D628DCA" w:rsidRPr="141E890C">
        <w:rPr>
          <w:lang w:val="en-GB"/>
        </w:rPr>
        <w:t xml:space="preserve"> studies</w:t>
      </w:r>
      <w:r w:rsidR="00366E58" w:rsidRPr="141E890C">
        <w:rPr>
          <w:lang w:val="en-GB"/>
        </w:rPr>
        <w:t xml:space="preserve"> only</w:t>
      </w:r>
      <w:r w:rsidR="00B45F00">
        <w:rPr>
          <w:lang w:val="en-GB"/>
        </w:rPr>
        <w:t xml:space="preserve"> addressing this by</w:t>
      </w:r>
      <w:r w:rsidR="00366E58" w:rsidRPr="141E890C">
        <w:rPr>
          <w:lang w:val="en-GB"/>
        </w:rPr>
        <w:t xml:space="preserve"> </w:t>
      </w:r>
      <w:r w:rsidR="00922AA0">
        <w:rPr>
          <w:lang w:val="en-GB"/>
        </w:rPr>
        <w:t>stating</w:t>
      </w:r>
      <w:r w:rsidR="1A6CB9C4" w:rsidRPr="141E890C">
        <w:rPr>
          <w:lang w:val="en-GB"/>
        </w:rPr>
        <w:t xml:space="preserve"> the need for</w:t>
      </w:r>
      <w:r w:rsidR="16A42F8B" w:rsidRPr="141E890C">
        <w:rPr>
          <w:lang w:val="en-GB"/>
        </w:rPr>
        <w:t xml:space="preserve"> </w:t>
      </w:r>
      <w:r w:rsidR="1A6CB9C4" w:rsidRPr="141E890C">
        <w:rPr>
          <w:lang w:val="en-GB"/>
        </w:rPr>
        <w:t xml:space="preserve">communication </w:t>
      </w:r>
      <w:r w:rsidR="16A42F8B" w:rsidRPr="141E890C">
        <w:rPr>
          <w:lang w:val="en-GB"/>
        </w:rPr>
        <w:t xml:space="preserve">proxies </w:t>
      </w:r>
      <w:r w:rsidR="4988594E" w:rsidRPr="141E890C">
        <w:rPr>
          <w:lang w:val="en-GB"/>
        </w:rPr>
        <w:t>[</w:t>
      </w:r>
      <w:r w:rsidR="7422E8EE" w:rsidRPr="141E890C">
        <w:rPr>
          <w:lang w:val="en-GB"/>
        </w:rPr>
        <w:t>28,</w:t>
      </w:r>
      <w:r w:rsidR="6A0FFBEC" w:rsidRPr="141E890C">
        <w:rPr>
          <w:lang w:val="en-GB"/>
        </w:rPr>
        <w:t xml:space="preserve"> 30</w:t>
      </w:r>
      <w:r w:rsidR="766723F2" w:rsidRPr="141E890C">
        <w:rPr>
          <w:lang w:val="en-GB"/>
        </w:rPr>
        <w:t>, 31</w:t>
      </w:r>
      <w:r w:rsidR="71FCC24D" w:rsidRPr="141E890C">
        <w:rPr>
          <w:lang w:val="en-GB"/>
        </w:rPr>
        <w:t>, 32</w:t>
      </w:r>
      <w:r w:rsidR="6A0FFBEC" w:rsidRPr="141E890C">
        <w:rPr>
          <w:lang w:val="en-GB"/>
        </w:rPr>
        <w:t>]</w:t>
      </w:r>
      <w:r w:rsidR="1A6CB9C4" w:rsidRPr="141E890C">
        <w:rPr>
          <w:lang w:val="en-GB"/>
        </w:rPr>
        <w:t>.</w:t>
      </w:r>
      <w:r w:rsidR="4ADF2281" w:rsidRPr="141E890C">
        <w:rPr>
          <w:lang w:val="en-GB"/>
        </w:rPr>
        <w:t xml:space="preserve"> The</w:t>
      </w:r>
      <w:r w:rsidR="7BA2C40E" w:rsidRPr="141E890C">
        <w:rPr>
          <w:lang w:val="en-GB"/>
        </w:rPr>
        <w:t xml:space="preserve"> remaining </w:t>
      </w:r>
      <w:r w:rsidR="00967D96">
        <w:rPr>
          <w:lang w:val="en-GB"/>
        </w:rPr>
        <w:t>studies</w:t>
      </w:r>
      <w:r w:rsidR="00967D96" w:rsidRPr="141E890C">
        <w:rPr>
          <w:lang w:val="en-GB"/>
        </w:rPr>
        <w:t xml:space="preserve"> </w:t>
      </w:r>
      <w:r w:rsidR="42FCDFC2" w:rsidRPr="141E890C">
        <w:rPr>
          <w:lang w:val="en-GB"/>
        </w:rPr>
        <w:t xml:space="preserve">used a range of standardised assessment batteries to </w:t>
      </w:r>
      <w:r w:rsidR="56930F49" w:rsidRPr="141E890C">
        <w:rPr>
          <w:lang w:val="en-GB"/>
        </w:rPr>
        <w:t xml:space="preserve">diagnose language </w:t>
      </w:r>
      <w:r w:rsidR="45414A11" w:rsidRPr="141E890C">
        <w:rPr>
          <w:lang w:val="en-GB"/>
        </w:rPr>
        <w:t xml:space="preserve">and cognitive-communication </w:t>
      </w:r>
      <w:r w:rsidR="56930F49" w:rsidRPr="141E890C">
        <w:rPr>
          <w:lang w:val="en-GB"/>
        </w:rPr>
        <w:t>impairments</w:t>
      </w:r>
      <w:r w:rsidR="45414A11" w:rsidRPr="141E890C">
        <w:rPr>
          <w:lang w:val="en-GB"/>
        </w:rPr>
        <w:t xml:space="preserve"> including the Mini-Mental State </w:t>
      </w:r>
      <w:r w:rsidR="1D8F0DBC" w:rsidRPr="141E890C">
        <w:rPr>
          <w:lang w:val="en-GB"/>
        </w:rPr>
        <w:t>Examination [35]</w:t>
      </w:r>
      <w:r w:rsidR="3682C30E" w:rsidRPr="141E890C">
        <w:rPr>
          <w:lang w:val="en-GB"/>
        </w:rPr>
        <w:t>, The Pyramids and Palm Trees Test</w:t>
      </w:r>
      <w:r w:rsidR="3979BF3C" w:rsidRPr="141E890C">
        <w:rPr>
          <w:lang w:val="en-GB"/>
        </w:rPr>
        <w:t xml:space="preserve"> [34]</w:t>
      </w:r>
      <w:r w:rsidR="275E60AC" w:rsidRPr="141E890C">
        <w:rPr>
          <w:lang w:val="en-GB"/>
        </w:rPr>
        <w:t>, Boston Naming Test [34</w:t>
      </w:r>
      <w:r w:rsidR="4C178BC5" w:rsidRPr="141E890C">
        <w:rPr>
          <w:lang w:val="en-GB"/>
        </w:rPr>
        <w:t>, 33</w:t>
      </w:r>
      <w:r w:rsidR="275E60AC" w:rsidRPr="141E890C">
        <w:rPr>
          <w:lang w:val="en-GB"/>
        </w:rPr>
        <w:t>]</w:t>
      </w:r>
      <w:r w:rsidR="05A61B90" w:rsidRPr="141E890C">
        <w:rPr>
          <w:lang w:val="en-GB"/>
        </w:rPr>
        <w:t xml:space="preserve">, tests of verbal fluency [34], </w:t>
      </w:r>
      <w:r w:rsidR="3C3B7C7B" w:rsidRPr="141E890C">
        <w:rPr>
          <w:lang w:val="en-GB"/>
        </w:rPr>
        <w:t xml:space="preserve">the </w:t>
      </w:r>
      <w:r w:rsidR="1F829C1D" w:rsidRPr="141E890C">
        <w:rPr>
          <w:lang w:val="en-GB"/>
        </w:rPr>
        <w:t>R</w:t>
      </w:r>
      <w:r w:rsidR="3C3B7C7B" w:rsidRPr="141E890C">
        <w:rPr>
          <w:lang w:val="en-GB"/>
        </w:rPr>
        <w:t xml:space="preserve">esponsive </w:t>
      </w:r>
      <w:r w:rsidR="1F829C1D" w:rsidRPr="141E890C">
        <w:rPr>
          <w:lang w:val="en-GB"/>
        </w:rPr>
        <w:t>N</w:t>
      </w:r>
      <w:r w:rsidR="3C3B7C7B" w:rsidRPr="141E890C">
        <w:rPr>
          <w:lang w:val="en-GB"/>
        </w:rPr>
        <w:t xml:space="preserve">aming </w:t>
      </w:r>
      <w:r w:rsidR="1F829C1D" w:rsidRPr="141E890C">
        <w:rPr>
          <w:lang w:val="en-GB"/>
        </w:rPr>
        <w:t>T</w:t>
      </w:r>
      <w:r w:rsidR="3C3B7C7B" w:rsidRPr="141E890C">
        <w:rPr>
          <w:lang w:val="en-GB"/>
        </w:rPr>
        <w:t>est [33]</w:t>
      </w:r>
      <w:r w:rsidR="14B45C34" w:rsidRPr="141E890C">
        <w:rPr>
          <w:lang w:val="en-GB"/>
        </w:rPr>
        <w:t xml:space="preserve">, </w:t>
      </w:r>
      <w:r w:rsidR="42730DBE" w:rsidRPr="141E890C">
        <w:rPr>
          <w:lang w:val="en-GB"/>
        </w:rPr>
        <w:t xml:space="preserve">The </w:t>
      </w:r>
      <w:r w:rsidR="14B45C34" w:rsidRPr="141E890C">
        <w:rPr>
          <w:lang w:val="en-GB"/>
        </w:rPr>
        <w:t xml:space="preserve">Everyday Functioning Scale </w:t>
      </w:r>
      <w:r w:rsidR="14F7F8B9" w:rsidRPr="141E890C">
        <w:rPr>
          <w:lang w:val="en-GB"/>
        </w:rPr>
        <w:t xml:space="preserve">[29], </w:t>
      </w:r>
      <w:r w:rsidR="0BBC6117" w:rsidRPr="141E890C">
        <w:rPr>
          <w:lang w:val="en-GB"/>
        </w:rPr>
        <w:t>and the Sheffield Screening Test for Acquired Language Disorders [29]</w:t>
      </w:r>
      <w:r w:rsidR="295FCB62" w:rsidRPr="141E890C">
        <w:rPr>
          <w:lang w:val="en-GB"/>
        </w:rPr>
        <w:t xml:space="preserve">. </w:t>
      </w:r>
    </w:p>
    <w:p w14:paraId="769E252E" w14:textId="77777777" w:rsidR="00795219" w:rsidRPr="00795219" w:rsidRDefault="00795219" w:rsidP="00795219">
      <w:pPr>
        <w:pStyle w:val="ListParagraph"/>
        <w:rPr>
          <w:lang w:val="en-GB"/>
        </w:rPr>
      </w:pPr>
    </w:p>
    <w:p w14:paraId="5F529E4F" w14:textId="08744952" w:rsidR="00672C34" w:rsidRDefault="00672C34">
      <w:pPr>
        <w:pStyle w:val="ListParagraph"/>
        <w:numPr>
          <w:ilvl w:val="1"/>
          <w:numId w:val="2"/>
        </w:numPr>
        <w:rPr>
          <w:b/>
          <w:bCs/>
          <w:lang w:val="en-GB"/>
        </w:rPr>
      </w:pPr>
      <w:r>
        <w:rPr>
          <w:b/>
          <w:bCs/>
          <w:lang w:val="en-GB"/>
        </w:rPr>
        <w:t>Quality Assessment</w:t>
      </w:r>
    </w:p>
    <w:p w14:paraId="6F0531E2" w14:textId="5ECB00D1" w:rsidR="00E70CAA" w:rsidRDefault="00E70CAA" w:rsidP="00E70CAA">
      <w:pPr>
        <w:pStyle w:val="ListParagraph"/>
        <w:rPr>
          <w:lang w:val="en-GB"/>
        </w:rPr>
      </w:pPr>
      <w:r w:rsidRPr="00E70CAA">
        <w:rPr>
          <w:lang w:val="en-GB"/>
        </w:rPr>
        <w:t xml:space="preserve">The </w:t>
      </w:r>
      <w:r>
        <w:rPr>
          <w:lang w:val="en-GB"/>
        </w:rPr>
        <w:t xml:space="preserve">quality of evidence from included studies indicates that </w:t>
      </w:r>
      <w:r w:rsidR="0025701F">
        <w:rPr>
          <w:lang w:val="en-GB"/>
        </w:rPr>
        <w:t xml:space="preserve">only one study </w:t>
      </w:r>
      <w:r w:rsidR="004068A6">
        <w:rPr>
          <w:lang w:val="en-GB"/>
        </w:rPr>
        <w:t xml:space="preserve">reached high methodological </w:t>
      </w:r>
      <w:r w:rsidR="00353B8E">
        <w:rPr>
          <w:lang w:val="en-GB"/>
        </w:rPr>
        <w:t xml:space="preserve">quality </w:t>
      </w:r>
      <w:r w:rsidR="00B071A3">
        <w:rPr>
          <w:lang w:val="en-GB"/>
        </w:rPr>
        <w:t xml:space="preserve">based on the CASP tool [30]. </w:t>
      </w:r>
      <w:r w:rsidR="00A00022">
        <w:rPr>
          <w:lang w:val="en-GB"/>
        </w:rPr>
        <w:t xml:space="preserve">The CASP indicates that </w:t>
      </w:r>
      <w:r w:rsidR="00B674E6">
        <w:rPr>
          <w:lang w:val="en-GB"/>
        </w:rPr>
        <w:t>if the answer to the first two questions (cohort studies</w:t>
      </w:r>
      <w:r w:rsidR="00852C1F">
        <w:rPr>
          <w:lang w:val="en-GB"/>
        </w:rPr>
        <w:t>, qualitative studies</w:t>
      </w:r>
      <w:r w:rsidR="00B674E6">
        <w:rPr>
          <w:lang w:val="en-GB"/>
        </w:rPr>
        <w:t>) or three questions (</w:t>
      </w:r>
      <w:r w:rsidR="00852C1F">
        <w:rPr>
          <w:lang w:val="en-GB"/>
        </w:rPr>
        <w:t>randomised control trials</w:t>
      </w:r>
      <w:r w:rsidR="00B674E6">
        <w:rPr>
          <w:lang w:val="en-GB"/>
        </w:rPr>
        <w:t xml:space="preserve">) </w:t>
      </w:r>
      <w:r w:rsidR="008F5648">
        <w:rPr>
          <w:lang w:val="en-GB"/>
        </w:rPr>
        <w:t>is not “yes”, then this may indicate that the evidence is of poor quality</w:t>
      </w:r>
      <w:r w:rsidR="004305B8">
        <w:rPr>
          <w:lang w:val="en-GB"/>
        </w:rPr>
        <w:t xml:space="preserve"> </w:t>
      </w:r>
      <w:r w:rsidR="000232F4">
        <w:rPr>
          <w:lang w:val="en-GB"/>
        </w:rPr>
        <w:t>[</w:t>
      </w:r>
      <w:r w:rsidR="004305B8">
        <w:rPr>
          <w:lang w:val="en-GB"/>
        </w:rPr>
        <w:t>36</w:t>
      </w:r>
      <w:r w:rsidR="000232F4">
        <w:rPr>
          <w:lang w:val="en-GB"/>
        </w:rPr>
        <w:t>]</w:t>
      </w:r>
      <w:r w:rsidR="008F5648">
        <w:rPr>
          <w:lang w:val="en-GB"/>
        </w:rPr>
        <w:t xml:space="preserve">. </w:t>
      </w:r>
      <w:r w:rsidR="000232F4">
        <w:rPr>
          <w:lang w:val="en-GB"/>
        </w:rPr>
        <w:t>Based on this criterion</w:t>
      </w:r>
      <w:r w:rsidR="00D04D68">
        <w:rPr>
          <w:lang w:val="en-GB"/>
        </w:rPr>
        <w:t>, two</w:t>
      </w:r>
      <w:r w:rsidR="000232F4">
        <w:rPr>
          <w:lang w:val="en-GB"/>
        </w:rPr>
        <w:t xml:space="preserve"> studies </w:t>
      </w:r>
      <w:r w:rsidR="00924B17">
        <w:rPr>
          <w:lang w:val="en-GB"/>
        </w:rPr>
        <w:t>were</w:t>
      </w:r>
      <w:r w:rsidR="000232F4">
        <w:rPr>
          <w:lang w:val="en-GB"/>
        </w:rPr>
        <w:t xml:space="preserve"> classified as being of low quality </w:t>
      </w:r>
      <w:r w:rsidR="00E55574">
        <w:rPr>
          <w:lang w:val="en-GB"/>
        </w:rPr>
        <w:t>[</w:t>
      </w:r>
      <w:r w:rsidR="00B10B09">
        <w:rPr>
          <w:lang w:val="en-GB"/>
        </w:rPr>
        <w:t>29, 34</w:t>
      </w:r>
      <w:r w:rsidR="00E55574">
        <w:rPr>
          <w:lang w:val="en-GB"/>
        </w:rPr>
        <w:t>]</w:t>
      </w:r>
      <w:r w:rsidR="007A51FC">
        <w:rPr>
          <w:lang w:val="en-GB"/>
        </w:rPr>
        <w:t xml:space="preserve">. </w:t>
      </w:r>
      <w:r w:rsidR="00103843">
        <w:rPr>
          <w:lang w:val="en-GB"/>
        </w:rPr>
        <w:t xml:space="preserve">The remaining </w:t>
      </w:r>
      <w:r w:rsidR="005E77E2">
        <w:rPr>
          <w:lang w:val="en-GB"/>
        </w:rPr>
        <w:t>studies indicate moderate</w:t>
      </w:r>
      <w:r w:rsidR="00BF68AB">
        <w:rPr>
          <w:lang w:val="en-GB"/>
        </w:rPr>
        <w:t xml:space="preserve"> quality [</w:t>
      </w:r>
      <w:r w:rsidR="000860CF">
        <w:rPr>
          <w:lang w:val="en-GB"/>
        </w:rPr>
        <w:t>28,31,</w:t>
      </w:r>
      <w:r w:rsidR="0038470D">
        <w:rPr>
          <w:lang w:val="en-GB"/>
        </w:rPr>
        <w:t>32,33,35].</w:t>
      </w:r>
      <w:r w:rsidR="00C8369F">
        <w:rPr>
          <w:lang w:val="en-GB"/>
        </w:rPr>
        <w:t xml:space="preserve"> </w:t>
      </w:r>
    </w:p>
    <w:p w14:paraId="0DB2ADFF" w14:textId="77777777" w:rsidR="00B46DED" w:rsidRDefault="00B46DED" w:rsidP="00E70CAA">
      <w:pPr>
        <w:pStyle w:val="ListParagraph"/>
        <w:rPr>
          <w:lang w:val="en-GB"/>
        </w:rPr>
      </w:pPr>
    </w:p>
    <w:p w14:paraId="0ABB4298" w14:textId="16C39B6C" w:rsidR="00B46DED" w:rsidRDefault="00B46DED">
      <w:pPr>
        <w:rPr>
          <w:lang w:val="en-GB"/>
        </w:rPr>
        <w:sectPr w:rsidR="00B46DED">
          <w:footerReference w:type="default" r:id="rId9"/>
          <w:pgSz w:w="11906" w:h="16838"/>
          <w:pgMar w:top="1440" w:right="1440" w:bottom="1440" w:left="1440" w:header="708" w:footer="708" w:gutter="0"/>
          <w:cols w:space="708"/>
          <w:docGrid w:linePitch="360"/>
        </w:sectPr>
      </w:pPr>
      <w:r>
        <w:rPr>
          <w:lang w:val="en-GB"/>
        </w:rPr>
        <w:br w:type="page"/>
      </w:r>
    </w:p>
    <w:p w14:paraId="05709446" w14:textId="19797153" w:rsidR="00B46DED" w:rsidRDefault="00B46DED">
      <w:pPr>
        <w:rPr>
          <w:lang w:val="en-GB"/>
        </w:rPr>
      </w:pPr>
    </w:p>
    <w:p w14:paraId="574F10AD" w14:textId="17C70FA4" w:rsidR="00B46DED" w:rsidRPr="00B46DED" w:rsidRDefault="00B46DED" w:rsidP="00B46DED">
      <w:pPr>
        <w:rPr>
          <w:lang w:val="en-GB"/>
        </w:rPr>
      </w:pPr>
      <w:r w:rsidRPr="783F2ACF">
        <w:rPr>
          <w:b/>
          <w:bCs/>
          <w:lang w:val="en-GB"/>
        </w:rPr>
        <w:t>Figure 2</w:t>
      </w:r>
      <w:r w:rsidRPr="783F2ACF">
        <w:rPr>
          <w:lang w:val="en-GB"/>
        </w:rPr>
        <w:t xml:space="preserve"> – Quality Appraisal of included studies using CASP tool</w:t>
      </w:r>
    </w:p>
    <w:p w14:paraId="0F3FAD2B" w14:textId="77777777" w:rsidR="00B46DED" w:rsidRPr="00076FC4" w:rsidRDefault="00B46DED" w:rsidP="00B46DED">
      <w:pPr>
        <w:jc w:val="center"/>
        <w:rPr>
          <w:b/>
          <w:bCs/>
        </w:rPr>
      </w:pPr>
      <w:r w:rsidRPr="00076FC4">
        <w:rPr>
          <w:b/>
          <w:bCs/>
        </w:rPr>
        <w:t>CASP Cohort Studies</w:t>
      </w:r>
    </w:p>
    <w:tbl>
      <w:tblPr>
        <w:tblStyle w:val="TableGrid"/>
        <w:tblW w:w="0" w:type="auto"/>
        <w:jc w:val="center"/>
        <w:tblLook w:val="04A0" w:firstRow="1" w:lastRow="0" w:firstColumn="1" w:lastColumn="0" w:noHBand="0" w:noVBand="1"/>
      </w:tblPr>
      <w:tblGrid>
        <w:gridCol w:w="4390"/>
        <w:gridCol w:w="680"/>
        <w:gridCol w:w="680"/>
        <w:gridCol w:w="680"/>
        <w:gridCol w:w="680"/>
        <w:gridCol w:w="680"/>
        <w:gridCol w:w="680"/>
        <w:gridCol w:w="680"/>
        <w:gridCol w:w="680"/>
        <w:gridCol w:w="680"/>
        <w:gridCol w:w="680"/>
        <w:gridCol w:w="680"/>
        <w:gridCol w:w="680"/>
      </w:tblGrid>
      <w:tr w:rsidR="00B46DED" w14:paraId="47163F24" w14:textId="77777777" w:rsidTr="00243BCA">
        <w:trPr>
          <w:trHeight w:val="680"/>
          <w:jc w:val="center"/>
        </w:trPr>
        <w:tc>
          <w:tcPr>
            <w:tcW w:w="4390" w:type="dxa"/>
            <w:tcBorders>
              <w:top w:val="nil"/>
              <w:left w:val="nil"/>
            </w:tcBorders>
          </w:tcPr>
          <w:p w14:paraId="18E308D0" w14:textId="77777777" w:rsidR="00B46DED" w:rsidRDefault="00B46DED" w:rsidP="00243BCA"/>
        </w:tc>
        <w:tc>
          <w:tcPr>
            <w:tcW w:w="680" w:type="dxa"/>
          </w:tcPr>
          <w:p w14:paraId="58D5E442" w14:textId="77777777" w:rsidR="00B46DED" w:rsidRDefault="00B46DED" w:rsidP="00243BCA">
            <w:r>
              <w:t>Q1</w:t>
            </w:r>
          </w:p>
        </w:tc>
        <w:tc>
          <w:tcPr>
            <w:tcW w:w="680" w:type="dxa"/>
          </w:tcPr>
          <w:p w14:paraId="20A2A9DF" w14:textId="77777777" w:rsidR="00B46DED" w:rsidRDefault="00B46DED" w:rsidP="00243BCA">
            <w:r>
              <w:t>Q2</w:t>
            </w:r>
          </w:p>
        </w:tc>
        <w:tc>
          <w:tcPr>
            <w:tcW w:w="680" w:type="dxa"/>
          </w:tcPr>
          <w:p w14:paraId="1B5B8716" w14:textId="77777777" w:rsidR="00B46DED" w:rsidRDefault="00B46DED" w:rsidP="00243BCA">
            <w:r>
              <w:t>Q3</w:t>
            </w:r>
          </w:p>
        </w:tc>
        <w:tc>
          <w:tcPr>
            <w:tcW w:w="680" w:type="dxa"/>
          </w:tcPr>
          <w:p w14:paraId="215A1DE0" w14:textId="77777777" w:rsidR="00B46DED" w:rsidRDefault="00B46DED" w:rsidP="00243BCA">
            <w:r>
              <w:t>Q4</w:t>
            </w:r>
          </w:p>
        </w:tc>
        <w:tc>
          <w:tcPr>
            <w:tcW w:w="680" w:type="dxa"/>
          </w:tcPr>
          <w:p w14:paraId="1938EDC6" w14:textId="77777777" w:rsidR="00B46DED" w:rsidRDefault="00B46DED" w:rsidP="00243BCA">
            <w:r>
              <w:t>Q5</w:t>
            </w:r>
          </w:p>
        </w:tc>
        <w:tc>
          <w:tcPr>
            <w:tcW w:w="680" w:type="dxa"/>
          </w:tcPr>
          <w:p w14:paraId="38067EC6" w14:textId="77777777" w:rsidR="00B46DED" w:rsidRDefault="00B46DED" w:rsidP="00243BCA">
            <w:r>
              <w:t>Q6</w:t>
            </w:r>
          </w:p>
        </w:tc>
        <w:tc>
          <w:tcPr>
            <w:tcW w:w="680" w:type="dxa"/>
          </w:tcPr>
          <w:p w14:paraId="6C3A5475" w14:textId="77777777" w:rsidR="00B46DED" w:rsidRDefault="00B46DED" w:rsidP="00243BCA">
            <w:r>
              <w:t>Q7</w:t>
            </w:r>
          </w:p>
        </w:tc>
        <w:tc>
          <w:tcPr>
            <w:tcW w:w="680" w:type="dxa"/>
          </w:tcPr>
          <w:p w14:paraId="14C7073D" w14:textId="77777777" w:rsidR="00B46DED" w:rsidRDefault="00B46DED" w:rsidP="00243BCA">
            <w:r>
              <w:t>Q8</w:t>
            </w:r>
          </w:p>
        </w:tc>
        <w:tc>
          <w:tcPr>
            <w:tcW w:w="680" w:type="dxa"/>
          </w:tcPr>
          <w:p w14:paraId="326D7704" w14:textId="77777777" w:rsidR="00B46DED" w:rsidRDefault="00B46DED" w:rsidP="00243BCA">
            <w:r>
              <w:t>Q9</w:t>
            </w:r>
          </w:p>
        </w:tc>
        <w:tc>
          <w:tcPr>
            <w:tcW w:w="680" w:type="dxa"/>
          </w:tcPr>
          <w:p w14:paraId="2C7BB5B6" w14:textId="77777777" w:rsidR="00B46DED" w:rsidRDefault="00B46DED" w:rsidP="00243BCA">
            <w:r>
              <w:t>Q10</w:t>
            </w:r>
          </w:p>
        </w:tc>
        <w:tc>
          <w:tcPr>
            <w:tcW w:w="680" w:type="dxa"/>
          </w:tcPr>
          <w:p w14:paraId="20F6D81E" w14:textId="77777777" w:rsidR="00B46DED" w:rsidRDefault="00B46DED" w:rsidP="00243BCA">
            <w:r>
              <w:t>Q11</w:t>
            </w:r>
          </w:p>
        </w:tc>
        <w:tc>
          <w:tcPr>
            <w:tcW w:w="680" w:type="dxa"/>
          </w:tcPr>
          <w:p w14:paraId="38CDB7F0" w14:textId="77777777" w:rsidR="00B46DED" w:rsidRDefault="00B46DED" w:rsidP="00243BCA">
            <w:r>
              <w:t>Q12</w:t>
            </w:r>
          </w:p>
        </w:tc>
      </w:tr>
      <w:tr w:rsidR="00B46DED" w14:paraId="6161600D" w14:textId="77777777" w:rsidTr="0003101E">
        <w:trPr>
          <w:trHeight w:val="680"/>
          <w:jc w:val="center"/>
        </w:trPr>
        <w:tc>
          <w:tcPr>
            <w:tcW w:w="4390" w:type="dxa"/>
            <w:shd w:val="clear" w:color="auto" w:fill="FFFFFF" w:themeFill="background1"/>
          </w:tcPr>
          <w:p w14:paraId="3B811076" w14:textId="77777777" w:rsidR="00B46DED" w:rsidRPr="0092775A" w:rsidRDefault="00B46DED" w:rsidP="00243BCA">
            <w:r w:rsidRPr="0092775A">
              <w:t>Bushnell et al., 2010</w:t>
            </w:r>
          </w:p>
          <w:p w14:paraId="6161442D" w14:textId="77777777" w:rsidR="00B46DED" w:rsidRPr="0092775A" w:rsidRDefault="00B46DED" w:rsidP="00243BCA"/>
        </w:tc>
        <w:tc>
          <w:tcPr>
            <w:tcW w:w="680" w:type="dxa"/>
            <w:shd w:val="clear" w:color="auto" w:fill="auto"/>
          </w:tcPr>
          <w:p w14:paraId="6B814CDC" w14:textId="7A70FAA3" w:rsidR="00B46DED" w:rsidRPr="0003101E" w:rsidRDefault="00B46EB9" w:rsidP="0003101E">
            <w:pPr>
              <w:jc w:val="center"/>
              <w:rPr>
                <w:color w:val="000000" w:themeColor="text1"/>
              </w:rPr>
            </w:pPr>
            <w:r w:rsidRPr="0003101E">
              <w:rPr>
                <w:color w:val="000000" w:themeColor="text1"/>
              </w:rPr>
              <w:t>Y</w:t>
            </w:r>
          </w:p>
          <w:p w14:paraId="5A6E7DF2" w14:textId="77777777" w:rsidR="00B46DED" w:rsidRPr="0003101E" w:rsidRDefault="00B46DED" w:rsidP="0003101E">
            <w:pPr>
              <w:jc w:val="center"/>
              <w:rPr>
                <w:color w:val="000000" w:themeColor="text1"/>
              </w:rPr>
            </w:pPr>
          </w:p>
        </w:tc>
        <w:tc>
          <w:tcPr>
            <w:tcW w:w="680" w:type="dxa"/>
            <w:shd w:val="clear" w:color="auto" w:fill="auto"/>
          </w:tcPr>
          <w:p w14:paraId="5BE287A7" w14:textId="347AD8B3"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1C7AEA3C" w14:textId="0FA622B7"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3278CE19" w14:textId="3EDCAF42"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5F8767CD" w14:textId="6F6897A7"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68A611B1" w14:textId="4D777DE1"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4601948F" w14:textId="7E4FB8A5"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45AD02F2" w14:textId="566DEB27"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1956E551" w14:textId="156D001D"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35A82161" w14:textId="6EF8442A"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0E154E9F" w14:textId="7126023A"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6275EF12" w14:textId="41AA75CA" w:rsidR="00B46DED" w:rsidRPr="0003101E" w:rsidRDefault="00B46EB9" w:rsidP="0003101E">
            <w:pPr>
              <w:jc w:val="center"/>
              <w:rPr>
                <w:color w:val="000000" w:themeColor="text1"/>
              </w:rPr>
            </w:pPr>
            <w:r w:rsidRPr="0003101E">
              <w:rPr>
                <w:color w:val="000000" w:themeColor="text1"/>
              </w:rPr>
              <w:t>Y</w:t>
            </w:r>
          </w:p>
        </w:tc>
      </w:tr>
      <w:tr w:rsidR="00B46DED" w14:paraId="554B5134" w14:textId="77777777" w:rsidTr="0003101E">
        <w:trPr>
          <w:trHeight w:val="680"/>
          <w:jc w:val="center"/>
        </w:trPr>
        <w:tc>
          <w:tcPr>
            <w:tcW w:w="4390" w:type="dxa"/>
            <w:shd w:val="clear" w:color="auto" w:fill="FFFFFF" w:themeFill="background1"/>
          </w:tcPr>
          <w:p w14:paraId="6FAEBCBE" w14:textId="77777777" w:rsidR="00B46DED" w:rsidRPr="0092775A" w:rsidRDefault="00B46DED" w:rsidP="00243BCA">
            <w:r w:rsidRPr="0092775A">
              <w:t>Coetzee et al., 2008</w:t>
            </w:r>
          </w:p>
          <w:p w14:paraId="1D8BC60D" w14:textId="77777777" w:rsidR="00B46DED" w:rsidRPr="0092775A" w:rsidRDefault="00B46DED" w:rsidP="00243BCA"/>
        </w:tc>
        <w:tc>
          <w:tcPr>
            <w:tcW w:w="680" w:type="dxa"/>
            <w:shd w:val="clear" w:color="auto" w:fill="auto"/>
          </w:tcPr>
          <w:p w14:paraId="1639B279" w14:textId="4226F2C9" w:rsidR="00B46DED" w:rsidRPr="0003101E" w:rsidRDefault="00B46EB9" w:rsidP="0003101E">
            <w:pPr>
              <w:jc w:val="center"/>
              <w:rPr>
                <w:color w:val="000000" w:themeColor="text1"/>
              </w:rPr>
            </w:pPr>
            <w:r w:rsidRPr="0003101E">
              <w:rPr>
                <w:color w:val="000000" w:themeColor="text1"/>
              </w:rPr>
              <w:t>Y</w:t>
            </w:r>
          </w:p>
          <w:p w14:paraId="3E8085F4" w14:textId="77777777" w:rsidR="00B46DED" w:rsidRPr="0003101E" w:rsidRDefault="00B46DED" w:rsidP="0003101E">
            <w:pPr>
              <w:jc w:val="center"/>
              <w:rPr>
                <w:color w:val="000000" w:themeColor="text1"/>
              </w:rPr>
            </w:pPr>
          </w:p>
        </w:tc>
        <w:tc>
          <w:tcPr>
            <w:tcW w:w="680" w:type="dxa"/>
            <w:shd w:val="clear" w:color="auto" w:fill="auto"/>
          </w:tcPr>
          <w:p w14:paraId="639FABBE" w14:textId="31FBD702"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7F8C8A83" w14:textId="1C29029E"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4DAAB269" w14:textId="00F308B8"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288B3280" w14:textId="0419F6BF" w:rsidR="00B46DED" w:rsidRPr="0003101E" w:rsidRDefault="00B46EB9" w:rsidP="0003101E">
            <w:pPr>
              <w:jc w:val="center"/>
              <w:rPr>
                <w:color w:val="000000" w:themeColor="text1"/>
              </w:rPr>
            </w:pPr>
            <w:r w:rsidRPr="0003101E">
              <w:rPr>
                <w:color w:val="000000" w:themeColor="text1"/>
              </w:rPr>
              <w:t>N</w:t>
            </w:r>
          </w:p>
        </w:tc>
        <w:tc>
          <w:tcPr>
            <w:tcW w:w="680" w:type="dxa"/>
            <w:shd w:val="clear" w:color="auto" w:fill="auto"/>
          </w:tcPr>
          <w:p w14:paraId="7F1D0F7E" w14:textId="61A769A0"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18E8616B" w14:textId="0E0F8DC7"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25EDF71A" w14:textId="11F67C19"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352D60E2" w14:textId="664FCDD6"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28EAA009" w14:textId="1FB03DE3"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4C0A3C41" w14:textId="6D07647B"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3FB6724A" w14:textId="1F5AA729" w:rsidR="00B46DED" w:rsidRPr="0003101E" w:rsidRDefault="00B46EB9" w:rsidP="0003101E">
            <w:pPr>
              <w:jc w:val="center"/>
              <w:rPr>
                <w:color w:val="000000" w:themeColor="text1"/>
              </w:rPr>
            </w:pPr>
            <w:r w:rsidRPr="0003101E">
              <w:rPr>
                <w:color w:val="000000" w:themeColor="text1"/>
              </w:rPr>
              <w:t>N</w:t>
            </w:r>
          </w:p>
        </w:tc>
      </w:tr>
      <w:tr w:rsidR="00B46DED" w14:paraId="662112F7" w14:textId="77777777" w:rsidTr="0003101E">
        <w:trPr>
          <w:trHeight w:val="680"/>
          <w:jc w:val="center"/>
        </w:trPr>
        <w:tc>
          <w:tcPr>
            <w:tcW w:w="4390" w:type="dxa"/>
            <w:shd w:val="clear" w:color="auto" w:fill="FFFFFF" w:themeFill="background1"/>
          </w:tcPr>
          <w:p w14:paraId="45772D4E" w14:textId="77777777" w:rsidR="00B46DED" w:rsidRPr="0092775A" w:rsidRDefault="00B46DED" w:rsidP="00243BCA">
            <w:r w:rsidRPr="0092775A">
              <w:t>Oyesana et al., 2020</w:t>
            </w:r>
          </w:p>
          <w:p w14:paraId="0811D504" w14:textId="77777777" w:rsidR="00B46DED" w:rsidRPr="0092775A" w:rsidRDefault="00B46DED" w:rsidP="00243BCA"/>
        </w:tc>
        <w:tc>
          <w:tcPr>
            <w:tcW w:w="680" w:type="dxa"/>
            <w:shd w:val="clear" w:color="auto" w:fill="auto"/>
          </w:tcPr>
          <w:p w14:paraId="2F25BF77" w14:textId="2BE86439" w:rsidR="00B46DED" w:rsidRPr="0003101E" w:rsidRDefault="00B46EB9" w:rsidP="0003101E">
            <w:pPr>
              <w:jc w:val="center"/>
              <w:rPr>
                <w:color w:val="000000" w:themeColor="text1"/>
              </w:rPr>
            </w:pPr>
            <w:r w:rsidRPr="0003101E">
              <w:rPr>
                <w:color w:val="000000" w:themeColor="text1"/>
              </w:rPr>
              <w:t>Y</w:t>
            </w:r>
          </w:p>
          <w:p w14:paraId="562EF6DF" w14:textId="77777777" w:rsidR="00B46DED" w:rsidRPr="0003101E" w:rsidRDefault="00B46DED" w:rsidP="0003101E">
            <w:pPr>
              <w:jc w:val="center"/>
              <w:rPr>
                <w:color w:val="000000" w:themeColor="text1"/>
              </w:rPr>
            </w:pPr>
          </w:p>
        </w:tc>
        <w:tc>
          <w:tcPr>
            <w:tcW w:w="680" w:type="dxa"/>
            <w:shd w:val="clear" w:color="auto" w:fill="auto"/>
          </w:tcPr>
          <w:p w14:paraId="62C19D28" w14:textId="5119C7C1"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38B6E0B2" w14:textId="74B88E3A"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5AD6EC59" w14:textId="1203D512"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0235EA74" w14:textId="1EFDC2BB"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697008A1" w14:textId="4241CA4B"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0A07F3F1" w14:textId="45BB088C"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6E261ACC" w14:textId="3FB508B9"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46DEF16E" w14:textId="5D798B7A"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71E0E366" w14:textId="152A57C2"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5B80A31C" w14:textId="141942CB"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70FE481A" w14:textId="7415294B" w:rsidR="00B46DED" w:rsidRPr="0003101E" w:rsidRDefault="00B46EB9" w:rsidP="0003101E">
            <w:pPr>
              <w:jc w:val="center"/>
              <w:rPr>
                <w:color w:val="000000" w:themeColor="text1"/>
              </w:rPr>
            </w:pPr>
            <w:r w:rsidRPr="0003101E">
              <w:rPr>
                <w:color w:val="000000" w:themeColor="text1"/>
              </w:rPr>
              <w:t>Y</w:t>
            </w:r>
          </w:p>
        </w:tc>
      </w:tr>
      <w:tr w:rsidR="00B46DED" w14:paraId="3451E1A7" w14:textId="77777777" w:rsidTr="0003101E">
        <w:trPr>
          <w:trHeight w:val="680"/>
          <w:jc w:val="center"/>
        </w:trPr>
        <w:tc>
          <w:tcPr>
            <w:tcW w:w="4390" w:type="dxa"/>
            <w:shd w:val="clear" w:color="auto" w:fill="FFFFFF" w:themeFill="background1"/>
          </w:tcPr>
          <w:p w14:paraId="1DE181F2" w14:textId="77777777" w:rsidR="00B46DED" w:rsidRPr="0092775A" w:rsidRDefault="00B46DED" w:rsidP="00243BCA">
            <w:r w:rsidRPr="0092775A">
              <w:t>Sumbul-Sekerci et al., 2021</w:t>
            </w:r>
          </w:p>
          <w:p w14:paraId="6F42F030" w14:textId="77777777" w:rsidR="00B46DED" w:rsidRPr="0092775A" w:rsidRDefault="00B46DED" w:rsidP="00243BCA"/>
        </w:tc>
        <w:tc>
          <w:tcPr>
            <w:tcW w:w="680" w:type="dxa"/>
            <w:shd w:val="clear" w:color="auto" w:fill="auto"/>
          </w:tcPr>
          <w:p w14:paraId="42C298E7" w14:textId="4AAFC9B7"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3E709CBA" w14:textId="541AB3E6"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01395800" w14:textId="3582B419"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0FF1B5F8" w14:textId="0CE21E5E"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46DEA6E3" w14:textId="2D45EEC7"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66B535DB" w14:textId="744EA6BF"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50DFFD8E" w14:textId="7A10D0A5"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3C0F191D" w14:textId="6D099269"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2A432FEC" w14:textId="16916388"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6E924806" w14:textId="430E2F75"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7CE1FF78" w14:textId="3D2D33AF"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05129103" w14:textId="20DE0C97" w:rsidR="00B46DED" w:rsidRPr="0003101E" w:rsidRDefault="00B46EB9" w:rsidP="0003101E">
            <w:pPr>
              <w:jc w:val="center"/>
              <w:rPr>
                <w:color w:val="000000" w:themeColor="text1"/>
              </w:rPr>
            </w:pPr>
            <w:r w:rsidRPr="0003101E">
              <w:rPr>
                <w:color w:val="000000" w:themeColor="text1"/>
              </w:rPr>
              <w:t>Y</w:t>
            </w:r>
          </w:p>
        </w:tc>
      </w:tr>
      <w:tr w:rsidR="00B46DED" w14:paraId="45775376" w14:textId="77777777" w:rsidTr="0003101E">
        <w:trPr>
          <w:trHeight w:val="680"/>
          <w:jc w:val="center"/>
        </w:trPr>
        <w:tc>
          <w:tcPr>
            <w:tcW w:w="4390" w:type="dxa"/>
            <w:shd w:val="clear" w:color="auto" w:fill="FFFFFF" w:themeFill="background1"/>
          </w:tcPr>
          <w:p w14:paraId="444A9B09" w14:textId="77777777" w:rsidR="00B46DED" w:rsidRPr="0092775A" w:rsidRDefault="00B46DED" w:rsidP="00243BCA">
            <w:r w:rsidRPr="0092775A">
              <w:t>Tellier et al., 2020</w:t>
            </w:r>
          </w:p>
          <w:p w14:paraId="7D2A7A2A" w14:textId="77777777" w:rsidR="00B46DED" w:rsidRPr="0092775A" w:rsidRDefault="00B46DED" w:rsidP="00243BCA"/>
        </w:tc>
        <w:tc>
          <w:tcPr>
            <w:tcW w:w="680" w:type="dxa"/>
            <w:shd w:val="clear" w:color="auto" w:fill="auto"/>
          </w:tcPr>
          <w:p w14:paraId="73FF8872" w14:textId="54DA41BA"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2D2270A8" w14:textId="4798B2E4"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1D489E99" w14:textId="2EB4EF8E"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05F90497" w14:textId="58F16C5A" w:rsidR="00B46DED" w:rsidRPr="0003101E" w:rsidRDefault="00B46EB9" w:rsidP="0003101E">
            <w:pPr>
              <w:jc w:val="center"/>
              <w:rPr>
                <w:color w:val="000000" w:themeColor="text1"/>
              </w:rPr>
            </w:pPr>
            <w:r w:rsidRPr="0003101E">
              <w:rPr>
                <w:color w:val="000000" w:themeColor="text1"/>
              </w:rPr>
              <w:t>N</w:t>
            </w:r>
          </w:p>
        </w:tc>
        <w:tc>
          <w:tcPr>
            <w:tcW w:w="680" w:type="dxa"/>
            <w:shd w:val="clear" w:color="auto" w:fill="auto"/>
          </w:tcPr>
          <w:p w14:paraId="3D31C064" w14:textId="5EBA7983" w:rsidR="00B46DED" w:rsidRPr="0003101E" w:rsidRDefault="00B46EB9" w:rsidP="0003101E">
            <w:pPr>
              <w:jc w:val="center"/>
              <w:rPr>
                <w:color w:val="000000" w:themeColor="text1"/>
              </w:rPr>
            </w:pPr>
            <w:r w:rsidRPr="0003101E">
              <w:rPr>
                <w:color w:val="000000" w:themeColor="text1"/>
              </w:rPr>
              <w:t>N</w:t>
            </w:r>
          </w:p>
        </w:tc>
        <w:tc>
          <w:tcPr>
            <w:tcW w:w="680" w:type="dxa"/>
            <w:shd w:val="clear" w:color="auto" w:fill="auto"/>
          </w:tcPr>
          <w:p w14:paraId="38AE8443" w14:textId="1BEA9E27"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1A14C034" w14:textId="43BF24D9"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291E57C5" w14:textId="7E5BAD42"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0C19E1FB" w14:textId="59693996" w:rsidR="00B46DED" w:rsidRPr="0003101E" w:rsidRDefault="00B46EB9" w:rsidP="0003101E">
            <w:pPr>
              <w:jc w:val="center"/>
              <w:rPr>
                <w:color w:val="000000" w:themeColor="text1"/>
              </w:rPr>
            </w:pPr>
            <w:r w:rsidRPr="0003101E">
              <w:rPr>
                <w:color w:val="000000" w:themeColor="text1"/>
              </w:rPr>
              <w:t>Y</w:t>
            </w:r>
          </w:p>
        </w:tc>
        <w:tc>
          <w:tcPr>
            <w:tcW w:w="680" w:type="dxa"/>
            <w:shd w:val="clear" w:color="auto" w:fill="auto"/>
          </w:tcPr>
          <w:p w14:paraId="57FF239D" w14:textId="2C0082D6"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7206182C" w14:textId="3617AAE7" w:rsidR="00B46DED" w:rsidRPr="0003101E" w:rsidRDefault="00B46EB9" w:rsidP="0003101E">
            <w:pPr>
              <w:jc w:val="center"/>
              <w:rPr>
                <w:color w:val="000000" w:themeColor="text1"/>
              </w:rPr>
            </w:pPr>
            <w:r w:rsidRPr="0003101E">
              <w:rPr>
                <w:color w:val="000000" w:themeColor="text1"/>
              </w:rPr>
              <w:t>U</w:t>
            </w:r>
          </w:p>
        </w:tc>
        <w:tc>
          <w:tcPr>
            <w:tcW w:w="680" w:type="dxa"/>
            <w:shd w:val="clear" w:color="auto" w:fill="auto"/>
          </w:tcPr>
          <w:p w14:paraId="6EDA3D87" w14:textId="10029190" w:rsidR="00B46DED" w:rsidRPr="0003101E" w:rsidRDefault="00B46EB9" w:rsidP="0003101E">
            <w:pPr>
              <w:jc w:val="center"/>
              <w:rPr>
                <w:color w:val="000000" w:themeColor="text1"/>
              </w:rPr>
            </w:pPr>
            <w:r w:rsidRPr="0003101E">
              <w:rPr>
                <w:color w:val="000000" w:themeColor="text1"/>
              </w:rPr>
              <w:t>Y</w:t>
            </w:r>
          </w:p>
        </w:tc>
      </w:tr>
    </w:tbl>
    <w:p w14:paraId="0DC9B39B" w14:textId="77777777" w:rsidR="00B46DED" w:rsidRDefault="00B46DED" w:rsidP="00B46DED"/>
    <w:p w14:paraId="0DFBFDB4" w14:textId="77777777" w:rsidR="00B46DED" w:rsidRDefault="00B46DED" w:rsidP="00B46DED"/>
    <w:p w14:paraId="1740A54E" w14:textId="77777777" w:rsidR="00B46DED" w:rsidRPr="00076FC4" w:rsidRDefault="00B46DED" w:rsidP="00B46DED">
      <w:pPr>
        <w:jc w:val="center"/>
        <w:rPr>
          <w:b/>
          <w:bCs/>
        </w:rPr>
      </w:pPr>
      <w:r w:rsidRPr="00076FC4">
        <w:rPr>
          <w:b/>
          <w:bCs/>
        </w:rPr>
        <w:t xml:space="preserve">CASP </w:t>
      </w:r>
      <w:r>
        <w:rPr>
          <w:b/>
          <w:bCs/>
        </w:rPr>
        <w:t xml:space="preserve">RCT </w:t>
      </w:r>
    </w:p>
    <w:tbl>
      <w:tblPr>
        <w:tblStyle w:val="TableGrid"/>
        <w:tblW w:w="0" w:type="auto"/>
        <w:jc w:val="center"/>
        <w:tblLook w:val="04A0" w:firstRow="1" w:lastRow="0" w:firstColumn="1" w:lastColumn="0" w:noHBand="0" w:noVBand="1"/>
      </w:tblPr>
      <w:tblGrid>
        <w:gridCol w:w="4390"/>
        <w:gridCol w:w="680"/>
        <w:gridCol w:w="680"/>
        <w:gridCol w:w="680"/>
        <w:gridCol w:w="708"/>
        <w:gridCol w:w="652"/>
        <w:gridCol w:w="708"/>
        <w:gridCol w:w="680"/>
        <w:gridCol w:w="745"/>
        <w:gridCol w:w="676"/>
        <w:gridCol w:w="591"/>
        <w:gridCol w:w="708"/>
      </w:tblGrid>
      <w:tr w:rsidR="00B46DED" w14:paraId="69A8A678" w14:textId="77777777" w:rsidTr="0003101E">
        <w:trPr>
          <w:trHeight w:val="680"/>
          <w:jc w:val="center"/>
        </w:trPr>
        <w:tc>
          <w:tcPr>
            <w:tcW w:w="4390" w:type="dxa"/>
            <w:tcBorders>
              <w:top w:val="nil"/>
              <w:left w:val="nil"/>
            </w:tcBorders>
          </w:tcPr>
          <w:p w14:paraId="26125CAE" w14:textId="77777777" w:rsidR="00B46DED" w:rsidRDefault="00B46DED" w:rsidP="00243BCA"/>
        </w:tc>
        <w:tc>
          <w:tcPr>
            <w:tcW w:w="680" w:type="dxa"/>
            <w:shd w:val="clear" w:color="auto" w:fill="auto"/>
          </w:tcPr>
          <w:p w14:paraId="297A53A8" w14:textId="77777777" w:rsidR="00B46DED" w:rsidRDefault="00B46DED" w:rsidP="00243BCA">
            <w:r>
              <w:t>Q1</w:t>
            </w:r>
          </w:p>
        </w:tc>
        <w:tc>
          <w:tcPr>
            <w:tcW w:w="680" w:type="dxa"/>
            <w:shd w:val="clear" w:color="auto" w:fill="auto"/>
          </w:tcPr>
          <w:p w14:paraId="54E822B4" w14:textId="77777777" w:rsidR="00B46DED" w:rsidRDefault="00B46DED" w:rsidP="00243BCA">
            <w:r>
              <w:t>Q2</w:t>
            </w:r>
          </w:p>
        </w:tc>
        <w:tc>
          <w:tcPr>
            <w:tcW w:w="680" w:type="dxa"/>
            <w:shd w:val="clear" w:color="auto" w:fill="auto"/>
          </w:tcPr>
          <w:p w14:paraId="688848F3" w14:textId="77777777" w:rsidR="00B46DED" w:rsidRDefault="00B46DED" w:rsidP="00243BCA">
            <w:r>
              <w:t>Q3</w:t>
            </w:r>
          </w:p>
        </w:tc>
        <w:tc>
          <w:tcPr>
            <w:tcW w:w="708" w:type="dxa"/>
            <w:shd w:val="clear" w:color="auto" w:fill="auto"/>
          </w:tcPr>
          <w:p w14:paraId="4F639241" w14:textId="77777777" w:rsidR="00B46DED" w:rsidRDefault="00B46DED" w:rsidP="00243BCA">
            <w:r>
              <w:t>Q4</w:t>
            </w:r>
          </w:p>
        </w:tc>
        <w:tc>
          <w:tcPr>
            <w:tcW w:w="652" w:type="dxa"/>
            <w:shd w:val="clear" w:color="auto" w:fill="auto"/>
          </w:tcPr>
          <w:p w14:paraId="39EEAABE" w14:textId="77777777" w:rsidR="00B46DED" w:rsidRDefault="00B46DED" w:rsidP="00243BCA">
            <w:r>
              <w:t>Q5</w:t>
            </w:r>
          </w:p>
        </w:tc>
        <w:tc>
          <w:tcPr>
            <w:tcW w:w="708" w:type="dxa"/>
            <w:shd w:val="clear" w:color="auto" w:fill="auto"/>
          </w:tcPr>
          <w:p w14:paraId="141920C7" w14:textId="77777777" w:rsidR="00B46DED" w:rsidRDefault="00B46DED" w:rsidP="00243BCA">
            <w:r>
              <w:t>Q6</w:t>
            </w:r>
          </w:p>
        </w:tc>
        <w:tc>
          <w:tcPr>
            <w:tcW w:w="680" w:type="dxa"/>
            <w:shd w:val="clear" w:color="auto" w:fill="auto"/>
          </w:tcPr>
          <w:p w14:paraId="230B3F65" w14:textId="77777777" w:rsidR="00B46DED" w:rsidRDefault="00B46DED" w:rsidP="00243BCA">
            <w:r>
              <w:t>Q7</w:t>
            </w:r>
          </w:p>
        </w:tc>
        <w:tc>
          <w:tcPr>
            <w:tcW w:w="745" w:type="dxa"/>
            <w:shd w:val="clear" w:color="auto" w:fill="auto"/>
          </w:tcPr>
          <w:p w14:paraId="018BDC03" w14:textId="77777777" w:rsidR="00B46DED" w:rsidRDefault="00B46DED" w:rsidP="00243BCA">
            <w:r>
              <w:t>Q8</w:t>
            </w:r>
          </w:p>
        </w:tc>
        <w:tc>
          <w:tcPr>
            <w:tcW w:w="676" w:type="dxa"/>
            <w:shd w:val="clear" w:color="auto" w:fill="auto"/>
          </w:tcPr>
          <w:p w14:paraId="6D841C27" w14:textId="77777777" w:rsidR="00B46DED" w:rsidRDefault="00B46DED" w:rsidP="00243BCA">
            <w:r>
              <w:t>Q9</w:t>
            </w:r>
          </w:p>
        </w:tc>
        <w:tc>
          <w:tcPr>
            <w:tcW w:w="591" w:type="dxa"/>
            <w:shd w:val="clear" w:color="auto" w:fill="auto"/>
          </w:tcPr>
          <w:p w14:paraId="003905CD" w14:textId="77777777" w:rsidR="00B46DED" w:rsidRDefault="00B46DED" w:rsidP="00243BCA">
            <w:r>
              <w:t>Q10</w:t>
            </w:r>
          </w:p>
        </w:tc>
        <w:tc>
          <w:tcPr>
            <w:tcW w:w="708" w:type="dxa"/>
            <w:shd w:val="clear" w:color="auto" w:fill="auto"/>
          </w:tcPr>
          <w:p w14:paraId="26A02B44" w14:textId="77777777" w:rsidR="00B46DED" w:rsidRDefault="00B46DED" w:rsidP="00243BCA">
            <w:r>
              <w:t>Q11</w:t>
            </w:r>
          </w:p>
        </w:tc>
      </w:tr>
      <w:tr w:rsidR="00B46DED" w14:paraId="28550355" w14:textId="77777777" w:rsidTr="0003101E">
        <w:trPr>
          <w:trHeight w:val="680"/>
          <w:jc w:val="center"/>
        </w:trPr>
        <w:tc>
          <w:tcPr>
            <w:tcW w:w="4390" w:type="dxa"/>
          </w:tcPr>
          <w:p w14:paraId="06073EDC" w14:textId="77777777" w:rsidR="00B46DED" w:rsidRDefault="00B46DED" w:rsidP="00243BCA">
            <w:r w:rsidRPr="0092775A">
              <w:t>Kim et al., 2022</w:t>
            </w:r>
          </w:p>
          <w:p w14:paraId="5F033BA9" w14:textId="77777777" w:rsidR="00B46DED" w:rsidRDefault="00B46DED" w:rsidP="00243BCA"/>
        </w:tc>
        <w:tc>
          <w:tcPr>
            <w:tcW w:w="680" w:type="dxa"/>
            <w:shd w:val="clear" w:color="auto" w:fill="auto"/>
          </w:tcPr>
          <w:p w14:paraId="1A14B603" w14:textId="7470F220" w:rsidR="00B46DED" w:rsidRDefault="00B46EB9" w:rsidP="0003101E">
            <w:pPr>
              <w:jc w:val="center"/>
            </w:pPr>
            <w:r>
              <w:t>Y</w:t>
            </w:r>
          </w:p>
          <w:p w14:paraId="27974EFC" w14:textId="77777777" w:rsidR="00B46DED" w:rsidRDefault="00B46DED" w:rsidP="0003101E">
            <w:pPr>
              <w:jc w:val="center"/>
            </w:pPr>
          </w:p>
        </w:tc>
        <w:tc>
          <w:tcPr>
            <w:tcW w:w="680" w:type="dxa"/>
            <w:shd w:val="clear" w:color="auto" w:fill="auto"/>
          </w:tcPr>
          <w:p w14:paraId="72BDCE5E" w14:textId="05B0C1EB" w:rsidR="00B46DED" w:rsidRDefault="00B46EB9" w:rsidP="0003101E">
            <w:pPr>
              <w:jc w:val="center"/>
            </w:pPr>
            <w:r>
              <w:t>Y</w:t>
            </w:r>
          </w:p>
        </w:tc>
        <w:tc>
          <w:tcPr>
            <w:tcW w:w="680" w:type="dxa"/>
            <w:shd w:val="clear" w:color="auto" w:fill="auto"/>
          </w:tcPr>
          <w:p w14:paraId="76A2EE85" w14:textId="0133FEE0" w:rsidR="00B46DED" w:rsidRDefault="00B46EB9" w:rsidP="0003101E">
            <w:pPr>
              <w:jc w:val="center"/>
            </w:pPr>
            <w:r>
              <w:t>Y</w:t>
            </w:r>
          </w:p>
        </w:tc>
        <w:tc>
          <w:tcPr>
            <w:tcW w:w="708" w:type="dxa"/>
            <w:shd w:val="clear" w:color="auto" w:fill="auto"/>
          </w:tcPr>
          <w:p w14:paraId="63A5669D" w14:textId="3144DEFA" w:rsidR="00B46DED" w:rsidRDefault="00B46EB9" w:rsidP="0003101E">
            <w:pPr>
              <w:jc w:val="center"/>
            </w:pPr>
            <w:r>
              <w:t>U</w:t>
            </w:r>
          </w:p>
        </w:tc>
        <w:tc>
          <w:tcPr>
            <w:tcW w:w="652" w:type="dxa"/>
            <w:shd w:val="clear" w:color="auto" w:fill="auto"/>
          </w:tcPr>
          <w:p w14:paraId="5B5E9071" w14:textId="21E37C1E" w:rsidR="00B46DED" w:rsidRDefault="00B46EB9" w:rsidP="0003101E">
            <w:pPr>
              <w:jc w:val="center"/>
            </w:pPr>
            <w:r>
              <w:t>Y</w:t>
            </w:r>
          </w:p>
        </w:tc>
        <w:tc>
          <w:tcPr>
            <w:tcW w:w="708" w:type="dxa"/>
            <w:shd w:val="clear" w:color="auto" w:fill="auto"/>
          </w:tcPr>
          <w:p w14:paraId="55D81F1C" w14:textId="6ED02017" w:rsidR="00B46DED" w:rsidRDefault="00B46EB9" w:rsidP="0003101E">
            <w:pPr>
              <w:jc w:val="center"/>
            </w:pPr>
            <w:r>
              <w:t>Y</w:t>
            </w:r>
          </w:p>
        </w:tc>
        <w:tc>
          <w:tcPr>
            <w:tcW w:w="680" w:type="dxa"/>
            <w:shd w:val="clear" w:color="auto" w:fill="auto"/>
          </w:tcPr>
          <w:p w14:paraId="5F2E49C4" w14:textId="16DE33A0" w:rsidR="00B46DED" w:rsidRDefault="00B46EB9" w:rsidP="0003101E">
            <w:pPr>
              <w:jc w:val="center"/>
            </w:pPr>
            <w:r>
              <w:t>U</w:t>
            </w:r>
          </w:p>
        </w:tc>
        <w:tc>
          <w:tcPr>
            <w:tcW w:w="745" w:type="dxa"/>
            <w:shd w:val="clear" w:color="auto" w:fill="auto"/>
          </w:tcPr>
          <w:p w14:paraId="0DD0C0D1" w14:textId="265B19BC" w:rsidR="00B46DED" w:rsidRDefault="00B46EB9" w:rsidP="0003101E">
            <w:pPr>
              <w:jc w:val="center"/>
            </w:pPr>
            <w:r>
              <w:t>N</w:t>
            </w:r>
          </w:p>
        </w:tc>
        <w:tc>
          <w:tcPr>
            <w:tcW w:w="676" w:type="dxa"/>
            <w:shd w:val="clear" w:color="auto" w:fill="auto"/>
          </w:tcPr>
          <w:p w14:paraId="1C81D8E3" w14:textId="1E20DE23" w:rsidR="00B46DED" w:rsidRDefault="00B46EB9" w:rsidP="0003101E">
            <w:pPr>
              <w:jc w:val="center"/>
            </w:pPr>
            <w:r>
              <w:t>U</w:t>
            </w:r>
          </w:p>
        </w:tc>
        <w:tc>
          <w:tcPr>
            <w:tcW w:w="591" w:type="dxa"/>
            <w:shd w:val="clear" w:color="auto" w:fill="auto"/>
          </w:tcPr>
          <w:p w14:paraId="3C6A3077" w14:textId="3AD100B6" w:rsidR="00B46DED" w:rsidRDefault="00B46EB9" w:rsidP="0003101E">
            <w:pPr>
              <w:jc w:val="center"/>
            </w:pPr>
            <w:r>
              <w:t>N</w:t>
            </w:r>
          </w:p>
        </w:tc>
        <w:tc>
          <w:tcPr>
            <w:tcW w:w="708" w:type="dxa"/>
            <w:shd w:val="clear" w:color="auto" w:fill="auto"/>
          </w:tcPr>
          <w:p w14:paraId="50D22151" w14:textId="74F58292" w:rsidR="00B46DED" w:rsidRDefault="00B46EB9" w:rsidP="0003101E">
            <w:pPr>
              <w:jc w:val="center"/>
            </w:pPr>
            <w:r>
              <w:t>U</w:t>
            </w:r>
          </w:p>
        </w:tc>
      </w:tr>
    </w:tbl>
    <w:p w14:paraId="606DA4BA" w14:textId="77777777" w:rsidR="00B46DED" w:rsidRDefault="00B46DED" w:rsidP="00B46DED">
      <w:pPr>
        <w:jc w:val="center"/>
        <w:rPr>
          <w:b/>
          <w:bCs/>
        </w:rPr>
      </w:pPr>
    </w:p>
    <w:p w14:paraId="69554D08" w14:textId="77777777" w:rsidR="00B46DED" w:rsidRDefault="00B46DED" w:rsidP="00B46DED">
      <w:pPr>
        <w:jc w:val="center"/>
        <w:rPr>
          <w:b/>
          <w:bCs/>
        </w:rPr>
      </w:pPr>
    </w:p>
    <w:p w14:paraId="08792777" w14:textId="77777777" w:rsidR="00B46DED" w:rsidRDefault="00B46DED" w:rsidP="00B46DED">
      <w:pPr>
        <w:rPr>
          <w:b/>
          <w:bCs/>
        </w:rPr>
      </w:pPr>
    </w:p>
    <w:p w14:paraId="2AEBC7DD" w14:textId="77777777" w:rsidR="00B46DED" w:rsidRPr="00076FC4" w:rsidRDefault="00B46DED" w:rsidP="00B46DED">
      <w:pPr>
        <w:jc w:val="center"/>
        <w:rPr>
          <w:b/>
          <w:bCs/>
        </w:rPr>
      </w:pPr>
      <w:r w:rsidRPr="00076FC4">
        <w:rPr>
          <w:b/>
          <w:bCs/>
        </w:rPr>
        <w:t xml:space="preserve">CASP </w:t>
      </w:r>
      <w:r>
        <w:rPr>
          <w:b/>
          <w:bCs/>
        </w:rPr>
        <w:t xml:space="preserve">Qualitative </w:t>
      </w:r>
    </w:p>
    <w:tbl>
      <w:tblPr>
        <w:tblStyle w:val="TableGrid"/>
        <w:tblW w:w="0" w:type="auto"/>
        <w:jc w:val="center"/>
        <w:tblLook w:val="04A0" w:firstRow="1" w:lastRow="0" w:firstColumn="1" w:lastColumn="0" w:noHBand="0" w:noVBand="1"/>
      </w:tblPr>
      <w:tblGrid>
        <w:gridCol w:w="4390"/>
        <w:gridCol w:w="680"/>
        <w:gridCol w:w="680"/>
        <w:gridCol w:w="680"/>
        <w:gridCol w:w="708"/>
        <w:gridCol w:w="652"/>
        <w:gridCol w:w="708"/>
        <w:gridCol w:w="680"/>
        <w:gridCol w:w="745"/>
        <w:gridCol w:w="676"/>
        <w:gridCol w:w="591"/>
      </w:tblGrid>
      <w:tr w:rsidR="00B46DED" w14:paraId="057EB9F2" w14:textId="77777777" w:rsidTr="00243BCA">
        <w:trPr>
          <w:trHeight w:val="680"/>
          <w:jc w:val="center"/>
        </w:trPr>
        <w:tc>
          <w:tcPr>
            <w:tcW w:w="4390" w:type="dxa"/>
            <w:tcBorders>
              <w:top w:val="nil"/>
              <w:left w:val="nil"/>
            </w:tcBorders>
          </w:tcPr>
          <w:p w14:paraId="325F35A3" w14:textId="77777777" w:rsidR="00B46DED" w:rsidRDefault="00B46DED" w:rsidP="00243BCA"/>
        </w:tc>
        <w:tc>
          <w:tcPr>
            <w:tcW w:w="680" w:type="dxa"/>
          </w:tcPr>
          <w:p w14:paraId="09998B94" w14:textId="77777777" w:rsidR="00B46DED" w:rsidRDefault="00B46DED" w:rsidP="00243BCA">
            <w:r>
              <w:t>Q1</w:t>
            </w:r>
          </w:p>
        </w:tc>
        <w:tc>
          <w:tcPr>
            <w:tcW w:w="680" w:type="dxa"/>
          </w:tcPr>
          <w:p w14:paraId="628C6CAD" w14:textId="77777777" w:rsidR="00B46DED" w:rsidRDefault="00B46DED" w:rsidP="00243BCA">
            <w:r>
              <w:t>Q2</w:t>
            </w:r>
          </w:p>
        </w:tc>
        <w:tc>
          <w:tcPr>
            <w:tcW w:w="680" w:type="dxa"/>
          </w:tcPr>
          <w:p w14:paraId="403226BA" w14:textId="77777777" w:rsidR="00B46DED" w:rsidRDefault="00B46DED" w:rsidP="00243BCA">
            <w:r>
              <w:t>Q3</w:t>
            </w:r>
          </w:p>
        </w:tc>
        <w:tc>
          <w:tcPr>
            <w:tcW w:w="708" w:type="dxa"/>
          </w:tcPr>
          <w:p w14:paraId="5F048D67" w14:textId="77777777" w:rsidR="00B46DED" w:rsidRDefault="00B46DED" w:rsidP="00243BCA">
            <w:r>
              <w:t>Q4</w:t>
            </w:r>
          </w:p>
        </w:tc>
        <w:tc>
          <w:tcPr>
            <w:tcW w:w="652" w:type="dxa"/>
          </w:tcPr>
          <w:p w14:paraId="4CB18E78" w14:textId="77777777" w:rsidR="00B46DED" w:rsidRDefault="00B46DED" w:rsidP="00243BCA">
            <w:r>
              <w:t>Q5</w:t>
            </w:r>
          </w:p>
        </w:tc>
        <w:tc>
          <w:tcPr>
            <w:tcW w:w="708" w:type="dxa"/>
          </w:tcPr>
          <w:p w14:paraId="52B37A91" w14:textId="77777777" w:rsidR="00B46DED" w:rsidRDefault="00B46DED" w:rsidP="00243BCA">
            <w:r>
              <w:t>Q6</w:t>
            </w:r>
          </w:p>
        </w:tc>
        <w:tc>
          <w:tcPr>
            <w:tcW w:w="680" w:type="dxa"/>
          </w:tcPr>
          <w:p w14:paraId="4A71F8DF" w14:textId="77777777" w:rsidR="00B46DED" w:rsidRDefault="00B46DED" w:rsidP="00243BCA">
            <w:r>
              <w:t>Q7</w:t>
            </w:r>
          </w:p>
        </w:tc>
        <w:tc>
          <w:tcPr>
            <w:tcW w:w="745" w:type="dxa"/>
          </w:tcPr>
          <w:p w14:paraId="116567F1" w14:textId="77777777" w:rsidR="00B46DED" w:rsidRDefault="00B46DED" w:rsidP="00243BCA">
            <w:r>
              <w:t>Q8</w:t>
            </w:r>
          </w:p>
        </w:tc>
        <w:tc>
          <w:tcPr>
            <w:tcW w:w="676" w:type="dxa"/>
          </w:tcPr>
          <w:p w14:paraId="7A5155B9" w14:textId="77777777" w:rsidR="00B46DED" w:rsidRDefault="00B46DED" w:rsidP="00243BCA">
            <w:r>
              <w:t>Q9</w:t>
            </w:r>
          </w:p>
        </w:tc>
        <w:tc>
          <w:tcPr>
            <w:tcW w:w="591" w:type="dxa"/>
          </w:tcPr>
          <w:p w14:paraId="1D529DDC" w14:textId="77777777" w:rsidR="00B46DED" w:rsidRDefault="00B46DED" w:rsidP="00243BCA">
            <w:r>
              <w:t>Q10</w:t>
            </w:r>
          </w:p>
        </w:tc>
      </w:tr>
      <w:tr w:rsidR="00B46DED" w14:paraId="50C2E48D" w14:textId="77777777" w:rsidTr="0003101E">
        <w:trPr>
          <w:trHeight w:val="680"/>
          <w:jc w:val="center"/>
        </w:trPr>
        <w:tc>
          <w:tcPr>
            <w:tcW w:w="4390" w:type="dxa"/>
          </w:tcPr>
          <w:p w14:paraId="69B03527" w14:textId="77777777" w:rsidR="00B46DED" w:rsidRPr="0092775A" w:rsidRDefault="00B46DED" w:rsidP="00243BCA">
            <w:r w:rsidRPr="0092775A">
              <w:t>Jamison et al., 2017</w:t>
            </w:r>
          </w:p>
          <w:p w14:paraId="27F41ADF" w14:textId="77777777" w:rsidR="00B46DED" w:rsidRPr="0092775A" w:rsidRDefault="00B46DED" w:rsidP="00243BCA"/>
        </w:tc>
        <w:tc>
          <w:tcPr>
            <w:tcW w:w="680" w:type="dxa"/>
            <w:shd w:val="clear" w:color="auto" w:fill="auto"/>
          </w:tcPr>
          <w:p w14:paraId="5AB7A099" w14:textId="0704AF82" w:rsidR="00B46DED" w:rsidRDefault="00A20196" w:rsidP="0003101E">
            <w:pPr>
              <w:jc w:val="center"/>
            </w:pPr>
            <w:r>
              <w:t>Y</w:t>
            </w:r>
          </w:p>
          <w:p w14:paraId="5198E147" w14:textId="77777777" w:rsidR="00B46DED" w:rsidRDefault="00B46DED" w:rsidP="0003101E">
            <w:pPr>
              <w:jc w:val="center"/>
            </w:pPr>
          </w:p>
        </w:tc>
        <w:tc>
          <w:tcPr>
            <w:tcW w:w="680" w:type="dxa"/>
            <w:shd w:val="clear" w:color="auto" w:fill="auto"/>
          </w:tcPr>
          <w:p w14:paraId="71073682" w14:textId="62602289" w:rsidR="00B46DED" w:rsidRDefault="00A20196" w:rsidP="0003101E">
            <w:pPr>
              <w:jc w:val="center"/>
            </w:pPr>
            <w:r>
              <w:t>Y</w:t>
            </w:r>
          </w:p>
        </w:tc>
        <w:tc>
          <w:tcPr>
            <w:tcW w:w="680" w:type="dxa"/>
            <w:shd w:val="clear" w:color="auto" w:fill="auto"/>
          </w:tcPr>
          <w:p w14:paraId="3CC311A3" w14:textId="0867C8B3" w:rsidR="00B46DED" w:rsidRDefault="00A20196" w:rsidP="0003101E">
            <w:pPr>
              <w:jc w:val="center"/>
            </w:pPr>
            <w:r>
              <w:t>Y</w:t>
            </w:r>
          </w:p>
        </w:tc>
        <w:tc>
          <w:tcPr>
            <w:tcW w:w="708" w:type="dxa"/>
            <w:shd w:val="clear" w:color="auto" w:fill="auto"/>
          </w:tcPr>
          <w:p w14:paraId="22887029" w14:textId="7076C705" w:rsidR="00B46DED" w:rsidRDefault="00A20196" w:rsidP="0003101E">
            <w:pPr>
              <w:jc w:val="center"/>
            </w:pPr>
            <w:r>
              <w:t>Y</w:t>
            </w:r>
          </w:p>
        </w:tc>
        <w:tc>
          <w:tcPr>
            <w:tcW w:w="652" w:type="dxa"/>
            <w:shd w:val="clear" w:color="auto" w:fill="auto"/>
          </w:tcPr>
          <w:p w14:paraId="6743957B" w14:textId="38F85C80" w:rsidR="00B46DED" w:rsidRDefault="00A20196" w:rsidP="0003101E">
            <w:pPr>
              <w:jc w:val="center"/>
            </w:pPr>
            <w:r>
              <w:t>Y</w:t>
            </w:r>
          </w:p>
        </w:tc>
        <w:tc>
          <w:tcPr>
            <w:tcW w:w="708" w:type="dxa"/>
            <w:shd w:val="clear" w:color="auto" w:fill="auto"/>
          </w:tcPr>
          <w:p w14:paraId="26CA7F8E" w14:textId="4BE37741" w:rsidR="00B46DED" w:rsidRDefault="00A20196" w:rsidP="0003101E">
            <w:pPr>
              <w:jc w:val="center"/>
            </w:pPr>
            <w:r>
              <w:t>Y</w:t>
            </w:r>
          </w:p>
        </w:tc>
        <w:tc>
          <w:tcPr>
            <w:tcW w:w="680" w:type="dxa"/>
            <w:shd w:val="clear" w:color="auto" w:fill="auto"/>
          </w:tcPr>
          <w:p w14:paraId="418C2554" w14:textId="66E370C6" w:rsidR="00B46DED" w:rsidRDefault="00A20196" w:rsidP="0003101E">
            <w:pPr>
              <w:jc w:val="center"/>
            </w:pPr>
            <w:r>
              <w:t>Y</w:t>
            </w:r>
          </w:p>
        </w:tc>
        <w:tc>
          <w:tcPr>
            <w:tcW w:w="745" w:type="dxa"/>
            <w:shd w:val="clear" w:color="auto" w:fill="auto"/>
          </w:tcPr>
          <w:p w14:paraId="3880F0F1" w14:textId="6F2E014A" w:rsidR="00B46DED" w:rsidRDefault="00A20196" w:rsidP="0003101E">
            <w:pPr>
              <w:jc w:val="center"/>
            </w:pPr>
            <w:r>
              <w:t>Y</w:t>
            </w:r>
          </w:p>
        </w:tc>
        <w:tc>
          <w:tcPr>
            <w:tcW w:w="676" w:type="dxa"/>
            <w:shd w:val="clear" w:color="auto" w:fill="auto"/>
          </w:tcPr>
          <w:p w14:paraId="45A816D5" w14:textId="2FC129C3" w:rsidR="00B46DED" w:rsidRDefault="00A20196" w:rsidP="0003101E">
            <w:pPr>
              <w:jc w:val="center"/>
            </w:pPr>
            <w:r>
              <w:t>Y</w:t>
            </w:r>
          </w:p>
        </w:tc>
        <w:tc>
          <w:tcPr>
            <w:tcW w:w="591" w:type="dxa"/>
            <w:shd w:val="clear" w:color="auto" w:fill="auto"/>
          </w:tcPr>
          <w:p w14:paraId="5C80B594" w14:textId="70307FC3" w:rsidR="00B46DED" w:rsidRDefault="00A20196" w:rsidP="0003101E">
            <w:pPr>
              <w:jc w:val="center"/>
            </w:pPr>
            <w:r>
              <w:t>Y</w:t>
            </w:r>
          </w:p>
        </w:tc>
      </w:tr>
    </w:tbl>
    <w:p w14:paraId="5FC6E3BE" w14:textId="77777777" w:rsidR="00B46DED" w:rsidRDefault="00B46DED" w:rsidP="00B46DED"/>
    <w:p w14:paraId="6C1BC6CA" w14:textId="77777777" w:rsidR="00B46DED" w:rsidRDefault="00B46DED" w:rsidP="00B46DED"/>
    <w:p w14:paraId="00A61A43" w14:textId="77777777" w:rsidR="00B46DED" w:rsidRDefault="00B46DED" w:rsidP="00B46DED"/>
    <w:p w14:paraId="7F4A3EF3" w14:textId="77777777" w:rsidR="00B46DED" w:rsidRDefault="00B46DED" w:rsidP="00B46DED"/>
    <w:p w14:paraId="5E5DDC79" w14:textId="77777777" w:rsidR="00B46DED" w:rsidRPr="002E529B" w:rsidRDefault="00B46DED" w:rsidP="00B46DED">
      <w:pPr>
        <w:jc w:val="center"/>
        <w:rPr>
          <w:b/>
          <w:bCs/>
        </w:rPr>
      </w:pPr>
      <w:r w:rsidRPr="002E529B">
        <w:rPr>
          <w:b/>
          <w:bCs/>
        </w:rPr>
        <w:t>Mixed Methods</w:t>
      </w:r>
    </w:p>
    <w:tbl>
      <w:tblPr>
        <w:tblStyle w:val="TableGrid"/>
        <w:tblW w:w="0" w:type="auto"/>
        <w:tblLook w:val="04A0" w:firstRow="1" w:lastRow="0" w:firstColumn="1" w:lastColumn="0" w:noHBand="0" w:noVBand="1"/>
      </w:tblPr>
      <w:tblGrid>
        <w:gridCol w:w="3426"/>
        <w:gridCol w:w="623"/>
        <w:gridCol w:w="624"/>
        <w:gridCol w:w="625"/>
        <w:gridCol w:w="625"/>
        <w:gridCol w:w="625"/>
        <w:gridCol w:w="625"/>
        <w:gridCol w:w="625"/>
        <w:gridCol w:w="625"/>
        <w:gridCol w:w="625"/>
        <w:gridCol w:w="655"/>
        <w:gridCol w:w="655"/>
        <w:gridCol w:w="655"/>
        <w:gridCol w:w="588"/>
        <w:gridCol w:w="588"/>
        <w:gridCol w:w="588"/>
        <w:gridCol w:w="588"/>
        <w:gridCol w:w="588"/>
      </w:tblGrid>
      <w:tr w:rsidR="00B46DED" w14:paraId="699A7494" w14:textId="77777777" w:rsidTr="00243BCA">
        <w:trPr>
          <w:trHeight w:val="680"/>
        </w:trPr>
        <w:tc>
          <w:tcPr>
            <w:tcW w:w="3499" w:type="dxa"/>
            <w:tcBorders>
              <w:top w:val="nil"/>
              <w:left w:val="nil"/>
            </w:tcBorders>
          </w:tcPr>
          <w:p w14:paraId="51DFFE6C" w14:textId="77777777" w:rsidR="00B46DED" w:rsidRDefault="00B46DED" w:rsidP="00243BCA"/>
        </w:tc>
        <w:tc>
          <w:tcPr>
            <w:tcW w:w="627" w:type="dxa"/>
          </w:tcPr>
          <w:p w14:paraId="193067BA" w14:textId="77777777" w:rsidR="00B46DED" w:rsidRDefault="00B46DED" w:rsidP="00243BCA">
            <w:r>
              <w:t>Q1</w:t>
            </w:r>
          </w:p>
        </w:tc>
        <w:tc>
          <w:tcPr>
            <w:tcW w:w="628" w:type="dxa"/>
          </w:tcPr>
          <w:p w14:paraId="71081306" w14:textId="77777777" w:rsidR="00B46DED" w:rsidRDefault="00B46DED" w:rsidP="00243BCA">
            <w:r>
              <w:t>Q2</w:t>
            </w:r>
          </w:p>
        </w:tc>
        <w:tc>
          <w:tcPr>
            <w:tcW w:w="629" w:type="dxa"/>
          </w:tcPr>
          <w:p w14:paraId="5DCEBFD2" w14:textId="77777777" w:rsidR="00B46DED" w:rsidRDefault="00B46DED" w:rsidP="00243BCA">
            <w:r>
              <w:t>Q3</w:t>
            </w:r>
          </w:p>
        </w:tc>
        <w:tc>
          <w:tcPr>
            <w:tcW w:w="629" w:type="dxa"/>
          </w:tcPr>
          <w:p w14:paraId="5FA1B1D4" w14:textId="77777777" w:rsidR="00B46DED" w:rsidRDefault="00B46DED" w:rsidP="00243BCA">
            <w:r>
              <w:t>Q4</w:t>
            </w:r>
          </w:p>
        </w:tc>
        <w:tc>
          <w:tcPr>
            <w:tcW w:w="629" w:type="dxa"/>
          </w:tcPr>
          <w:p w14:paraId="59300A59" w14:textId="77777777" w:rsidR="00B46DED" w:rsidRDefault="00B46DED" w:rsidP="00243BCA">
            <w:r>
              <w:t>Q5</w:t>
            </w:r>
          </w:p>
        </w:tc>
        <w:tc>
          <w:tcPr>
            <w:tcW w:w="629" w:type="dxa"/>
          </w:tcPr>
          <w:p w14:paraId="2309ED99" w14:textId="77777777" w:rsidR="00B46DED" w:rsidRDefault="00B46DED" w:rsidP="00243BCA">
            <w:r>
              <w:t>Q6</w:t>
            </w:r>
          </w:p>
        </w:tc>
        <w:tc>
          <w:tcPr>
            <w:tcW w:w="629" w:type="dxa"/>
          </w:tcPr>
          <w:p w14:paraId="4EECC453" w14:textId="77777777" w:rsidR="00B46DED" w:rsidRDefault="00B46DED" w:rsidP="00243BCA">
            <w:r>
              <w:t>Q7</w:t>
            </w:r>
          </w:p>
        </w:tc>
        <w:tc>
          <w:tcPr>
            <w:tcW w:w="629" w:type="dxa"/>
          </w:tcPr>
          <w:p w14:paraId="6C347167" w14:textId="77777777" w:rsidR="00B46DED" w:rsidRDefault="00B46DED" w:rsidP="00243BCA">
            <w:r>
              <w:t>Q8</w:t>
            </w:r>
          </w:p>
        </w:tc>
        <w:tc>
          <w:tcPr>
            <w:tcW w:w="629" w:type="dxa"/>
          </w:tcPr>
          <w:p w14:paraId="32EF60AC" w14:textId="77777777" w:rsidR="00B46DED" w:rsidRDefault="00B46DED" w:rsidP="00243BCA">
            <w:r>
              <w:t>Q9</w:t>
            </w:r>
          </w:p>
        </w:tc>
        <w:tc>
          <w:tcPr>
            <w:tcW w:w="657" w:type="dxa"/>
          </w:tcPr>
          <w:p w14:paraId="245C81D3" w14:textId="77777777" w:rsidR="00B46DED" w:rsidRDefault="00B46DED" w:rsidP="00243BCA">
            <w:r>
              <w:t>Q10</w:t>
            </w:r>
          </w:p>
        </w:tc>
        <w:tc>
          <w:tcPr>
            <w:tcW w:w="657" w:type="dxa"/>
          </w:tcPr>
          <w:p w14:paraId="0BED3F3E" w14:textId="77777777" w:rsidR="00B46DED" w:rsidRDefault="00B46DED" w:rsidP="00243BCA">
            <w:r>
              <w:t>Q11</w:t>
            </w:r>
          </w:p>
        </w:tc>
        <w:tc>
          <w:tcPr>
            <w:tcW w:w="657" w:type="dxa"/>
          </w:tcPr>
          <w:p w14:paraId="279FDADB" w14:textId="77777777" w:rsidR="00B46DED" w:rsidRDefault="00B46DED" w:rsidP="00243BCA">
            <w:r>
              <w:t>Q12</w:t>
            </w:r>
          </w:p>
        </w:tc>
        <w:tc>
          <w:tcPr>
            <w:tcW w:w="564" w:type="dxa"/>
          </w:tcPr>
          <w:p w14:paraId="3A9BD947" w14:textId="77777777" w:rsidR="00B46DED" w:rsidRDefault="00B46DED" w:rsidP="00243BCA">
            <w:r>
              <w:t>Q13</w:t>
            </w:r>
          </w:p>
        </w:tc>
        <w:tc>
          <w:tcPr>
            <w:tcW w:w="564" w:type="dxa"/>
          </w:tcPr>
          <w:p w14:paraId="07EB4AD8" w14:textId="77777777" w:rsidR="00B46DED" w:rsidRDefault="00B46DED" w:rsidP="00243BCA">
            <w:r>
              <w:t>Q14</w:t>
            </w:r>
          </w:p>
        </w:tc>
        <w:tc>
          <w:tcPr>
            <w:tcW w:w="564" w:type="dxa"/>
          </w:tcPr>
          <w:p w14:paraId="68A2EFF9" w14:textId="77777777" w:rsidR="00B46DED" w:rsidRDefault="00B46DED" w:rsidP="00243BCA">
            <w:r>
              <w:t>Q15</w:t>
            </w:r>
          </w:p>
        </w:tc>
        <w:tc>
          <w:tcPr>
            <w:tcW w:w="564" w:type="dxa"/>
          </w:tcPr>
          <w:p w14:paraId="4DDD0371" w14:textId="77777777" w:rsidR="00B46DED" w:rsidRDefault="00B46DED" w:rsidP="00243BCA">
            <w:r>
              <w:t>Q16</w:t>
            </w:r>
          </w:p>
        </w:tc>
        <w:tc>
          <w:tcPr>
            <w:tcW w:w="564" w:type="dxa"/>
          </w:tcPr>
          <w:p w14:paraId="32D9D3AD" w14:textId="77777777" w:rsidR="00B46DED" w:rsidRDefault="00B46DED" w:rsidP="00243BCA">
            <w:r>
              <w:t>Q17</w:t>
            </w:r>
          </w:p>
        </w:tc>
      </w:tr>
      <w:tr w:rsidR="00B46DED" w14:paraId="65A64137" w14:textId="77777777" w:rsidTr="0003101E">
        <w:tblPrEx>
          <w:jc w:val="center"/>
        </w:tblPrEx>
        <w:trPr>
          <w:trHeight w:val="680"/>
          <w:jc w:val="center"/>
        </w:trPr>
        <w:tc>
          <w:tcPr>
            <w:tcW w:w="3499" w:type="dxa"/>
          </w:tcPr>
          <w:p w14:paraId="65773EB6" w14:textId="77777777" w:rsidR="00B46DED" w:rsidRPr="0092775A" w:rsidRDefault="00B46DED" w:rsidP="00243BCA">
            <w:r w:rsidRPr="0092775A">
              <w:t>Nichols et al., 2017</w:t>
            </w:r>
          </w:p>
          <w:p w14:paraId="2AADAA01" w14:textId="77777777" w:rsidR="00B46DED" w:rsidRDefault="00B46DED" w:rsidP="00243BCA"/>
        </w:tc>
        <w:tc>
          <w:tcPr>
            <w:tcW w:w="627" w:type="dxa"/>
            <w:shd w:val="clear" w:color="auto" w:fill="auto"/>
          </w:tcPr>
          <w:p w14:paraId="635FB2B1" w14:textId="2B0B6729" w:rsidR="00B46DED" w:rsidRDefault="00A20196" w:rsidP="0003101E">
            <w:pPr>
              <w:jc w:val="center"/>
            </w:pPr>
            <w:r>
              <w:t>Y</w:t>
            </w:r>
          </w:p>
          <w:p w14:paraId="69571155" w14:textId="77777777" w:rsidR="00B46DED" w:rsidRDefault="00B46DED" w:rsidP="0003101E">
            <w:pPr>
              <w:jc w:val="center"/>
            </w:pPr>
          </w:p>
        </w:tc>
        <w:tc>
          <w:tcPr>
            <w:tcW w:w="628" w:type="dxa"/>
            <w:shd w:val="clear" w:color="auto" w:fill="auto"/>
          </w:tcPr>
          <w:p w14:paraId="4C40CC56" w14:textId="5E406F30" w:rsidR="00B46DED" w:rsidRDefault="00A20196" w:rsidP="0003101E">
            <w:pPr>
              <w:jc w:val="center"/>
            </w:pPr>
            <w:r>
              <w:t>Y</w:t>
            </w:r>
          </w:p>
        </w:tc>
        <w:tc>
          <w:tcPr>
            <w:tcW w:w="629" w:type="dxa"/>
            <w:shd w:val="clear" w:color="auto" w:fill="auto"/>
          </w:tcPr>
          <w:p w14:paraId="6CEBCCA4" w14:textId="7E7D6E19" w:rsidR="00B46DED" w:rsidRDefault="00A20196" w:rsidP="0003101E">
            <w:pPr>
              <w:jc w:val="center"/>
            </w:pPr>
            <w:r>
              <w:t>Y</w:t>
            </w:r>
          </w:p>
        </w:tc>
        <w:tc>
          <w:tcPr>
            <w:tcW w:w="629" w:type="dxa"/>
            <w:shd w:val="clear" w:color="auto" w:fill="auto"/>
          </w:tcPr>
          <w:p w14:paraId="2D16A1C5" w14:textId="64285496" w:rsidR="00B46DED" w:rsidRDefault="00A20196" w:rsidP="0003101E">
            <w:pPr>
              <w:jc w:val="center"/>
            </w:pPr>
            <w:r>
              <w:t>Y</w:t>
            </w:r>
          </w:p>
        </w:tc>
        <w:tc>
          <w:tcPr>
            <w:tcW w:w="629" w:type="dxa"/>
            <w:shd w:val="clear" w:color="auto" w:fill="auto"/>
          </w:tcPr>
          <w:p w14:paraId="5848D583" w14:textId="279F8796" w:rsidR="00B46DED" w:rsidRDefault="00A20196" w:rsidP="0003101E">
            <w:pPr>
              <w:jc w:val="center"/>
            </w:pPr>
            <w:r>
              <w:t>Y</w:t>
            </w:r>
          </w:p>
        </w:tc>
        <w:tc>
          <w:tcPr>
            <w:tcW w:w="629" w:type="dxa"/>
            <w:shd w:val="clear" w:color="auto" w:fill="auto"/>
          </w:tcPr>
          <w:p w14:paraId="7D33DF59" w14:textId="2170527B" w:rsidR="00B46DED" w:rsidRDefault="00A20196" w:rsidP="0003101E">
            <w:pPr>
              <w:jc w:val="center"/>
            </w:pPr>
            <w:r>
              <w:t>Y</w:t>
            </w:r>
          </w:p>
        </w:tc>
        <w:tc>
          <w:tcPr>
            <w:tcW w:w="629" w:type="dxa"/>
            <w:shd w:val="clear" w:color="auto" w:fill="auto"/>
          </w:tcPr>
          <w:p w14:paraId="4A0C5497" w14:textId="3A286B01" w:rsidR="00B46DED" w:rsidRDefault="00A20196" w:rsidP="0003101E">
            <w:pPr>
              <w:jc w:val="center"/>
            </w:pPr>
            <w:r>
              <w:t>Y</w:t>
            </w:r>
          </w:p>
        </w:tc>
        <w:tc>
          <w:tcPr>
            <w:tcW w:w="629" w:type="dxa"/>
            <w:shd w:val="clear" w:color="auto" w:fill="auto"/>
          </w:tcPr>
          <w:p w14:paraId="5615F70D" w14:textId="6F2F341E" w:rsidR="00B46DED" w:rsidRDefault="00A20196" w:rsidP="0003101E">
            <w:pPr>
              <w:jc w:val="center"/>
            </w:pPr>
            <w:r>
              <w:t>N</w:t>
            </w:r>
          </w:p>
        </w:tc>
        <w:tc>
          <w:tcPr>
            <w:tcW w:w="629" w:type="dxa"/>
            <w:shd w:val="clear" w:color="auto" w:fill="auto"/>
          </w:tcPr>
          <w:p w14:paraId="23B39187" w14:textId="2E937BFE" w:rsidR="00B46DED" w:rsidRDefault="00A20196" w:rsidP="0003101E">
            <w:pPr>
              <w:jc w:val="center"/>
            </w:pPr>
            <w:r>
              <w:t>N</w:t>
            </w:r>
          </w:p>
        </w:tc>
        <w:tc>
          <w:tcPr>
            <w:tcW w:w="657" w:type="dxa"/>
            <w:shd w:val="clear" w:color="auto" w:fill="auto"/>
          </w:tcPr>
          <w:p w14:paraId="3AE2BFC9" w14:textId="2E2C5D31" w:rsidR="00B46DED" w:rsidRDefault="00A20196" w:rsidP="0003101E">
            <w:pPr>
              <w:jc w:val="center"/>
            </w:pPr>
            <w:r>
              <w:t>Y</w:t>
            </w:r>
          </w:p>
        </w:tc>
        <w:tc>
          <w:tcPr>
            <w:tcW w:w="657" w:type="dxa"/>
            <w:shd w:val="clear" w:color="auto" w:fill="auto"/>
          </w:tcPr>
          <w:p w14:paraId="27E45065" w14:textId="3C7065F0" w:rsidR="00B46DED" w:rsidRDefault="00A20196" w:rsidP="0003101E">
            <w:pPr>
              <w:jc w:val="center"/>
            </w:pPr>
            <w:r>
              <w:t>U</w:t>
            </w:r>
          </w:p>
        </w:tc>
        <w:tc>
          <w:tcPr>
            <w:tcW w:w="657" w:type="dxa"/>
            <w:shd w:val="clear" w:color="auto" w:fill="auto"/>
          </w:tcPr>
          <w:p w14:paraId="7CED0C61" w14:textId="0AC5EAF9" w:rsidR="00B46DED" w:rsidRDefault="00A20196" w:rsidP="0003101E">
            <w:pPr>
              <w:jc w:val="center"/>
            </w:pPr>
            <w:r>
              <w:t>Y</w:t>
            </w:r>
          </w:p>
        </w:tc>
        <w:tc>
          <w:tcPr>
            <w:tcW w:w="564" w:type="dxa"/>
            <w:shd w:val="clear" w:color="auto" w:fill="auto"/>
          </w:tcPr>
          <w:p w14:paraId="2D00CF57" w14:textId="1414CEDD" w:rsidR="00B46DED" w:rsidRDefault="00A20196" w:rsidP="0003101E">
            <w:pPr>
              <w:jc w:val="center"/>
            </w:pPr>
            <w:r>
              <w:t>Y</w:t>
            </w:r>
          </w:p>
        </w:tc>
        <w:tc>
          <w:tcPr>
            <w:tcW w:w="564" w:type="dxa"/>
            <w:shd w:val="clear" w:color="auto" w:fill="auto"/>
          </w:tcPr>
          <w:p w14:paraId="131EF7E0" w14:textId="1DC81FE2" w:rsidR="00B46DED" w:rsidRDefault="00A20196" w:rsidP="0003101E">
            <w:pPr>
              <w:jc w:val="center"/>
            </w:pPr>
            <w:r>
              <w:t>Y</w:t>
            </w:r>
          </w:p>
        </w:tc>
        <w:tc>
          <w:tcPr>
            <w:tcW w:w="564" w:type="dxa"/>
            <w:shd w:val="clear" w:color="auto" w:fill="auto"/>
          </w:tcPr>
          <w:p w14:paraId="261819DA" w14:textId="218D5B04" w:rsidR="00B46DED" w:rsidRDefault="00A20196" w:rsidP="0003101E">
            <w:pPr>
              <w:jc w:val="center"/>
            </w:pPr>
            <w:r>
              <w:t>Y</w:t>
            </w:r>
          </w:p>
        </w:tc>
        <w:tc>
          <w:tcPr>
            <w:tcW w:w="564" w:type="dxa"/>
            <w:shd w:val="clear" w:color="auto" w:fill="auto"/>
          </w:tcPr>
          <w:p w14:paraId="05A492FF" w14:textId="5B835981" w:rsidR="00B46DED" w:rsidRDefault="00A20196" w:rsidP="0003101E">
            <w:pPr>
              <w:jc w:val="center"/>
            </w:pPr>
            <w:r>
              <w:t>U</w:t>
            </w:r>
          </w:p>
        </w:tc>
        <w:tc>
          <w:tcPr>
            <w:tcW w:w="564" w:type="dxa"/>
            <w:shd w:val="clear" w:color="auto" w:fill="auto"/>
          </w:tcPr>
          <w:p w14:paraId="15A7E91A" w14:textId="44170815" w:rsidR="00B46DED" w:rsidRDefault="00A20196" w:rsidP="0003101E">
            <w:pPr>
              <w:jc w:val="center"/>
            </w:pPr>
            <w:r>
              <w:t>U</w:t>
            </w:r>
          </w:p>
        </w:tc>
      </w:tr>
    </w:tbl>
    <w:p w14:paraId="3D4E9C94" w14:textId="77777777" w:rsidR="00B46DED" w:rsidRDefault="00B46DED" w:rsidP="00E70CAA">
      <w:pPr>
        <w:pStyle w:val="ListParagraph"/>
        <w:rPr>
          <w:lang w:val="en-GB"/>
        </w:rPr>
      </w:pPr>
    </w:p>
    <w:p w14:paraId="4EF4742B" w14:textId="77777777" w:rsidR="00B46EB9" w:rsidRDefault="00B46EB9" w:rsidP="00E70CAA">
      <w:pPr>
        <w:pStyle w:val="ListParagraph"/>
        <w:rPr>
          <w:lang w:val="en-GB"/>
        </w:rPr>
      </w:pPr>
    </w:p>
    <w:p w14:paraId="61F09438" w14:textId="77777777" w:rsidR="00B46EB9" w:rsidRDefault="00B46EB9" w:rsidP="00B46EB9">
      <w:pPr>
        <w:rPr>
          <w:lang w:val="en-GB"/>
        </w:rPr>
      </w:pPr>
      <w:r>
        <w:rPr>
          <w:lang w:val="en-GB"/>
        </w:rPr>
        <w:t xml:space="preserve">Key: </w:t>
      </w:r>
    </w:p>
    <w:p w14:paraId="341F22B2" w14:textId="1710288E" w:rsidR="00B46EB9" w:rsidRDefault="00B46EB9" w:rsidP="00B46EB9">
      <w:pPr>
        <w:rPr>
          <w:lang w:val="en-GB"/>
        </w:rPr>
      </w:pPr>
      <w:r>
        <w:rPr>
          <w:lang w:val="en-GB"/>
        </w:rPr>
        <w:t xml:space="preserve">Y = Yes </w:t>
      </w:r>
    </w:p>
    <w:p w14:paraId="251ED57E" w14:textId="2B04EDAA" w:rsidR="00B46EB9" w:rsidRDefault="00B46EB9" w:rsidP="00B46EB9">
      <w:pPr>
        <w:rPr>
          <w:lang w:val="en-GB"/>
        </w:rPr>
      </w:pPr>
      <w:r>
        <w:rPr>
          <w:lang w:val="en-GB"/>
        </w:rPr>
        <w:t xml:space="preserve">N= No  </w:t>
      </w:r>
    </w:p>
    <w:p w14:paraId="4CF672AC" w14:textId="05017CD6" w:rsidR="00B46EB9" w:rsidRPr="00B46EB9" w:rsidRDefault="00B46EB9" w:rsidP="0003101E">
      <w:pPr>
        <w:rPr>
          <w:lang w:val="en-GB"/>
        </w:rPr>
        <w:sectPr w:rsidR="00B46EB9" w:rsidRPr="00B46EB9" w:rsidSect="0066540A">
          <w:pgSz w:w="16838" w:h="11906" w:orient="landscape"/>
          <w:pgMar w:top="1440" w:right="1440" w:bottom="1440" w:left="1440" w:header="709" w:footer="709" w:gutter="0"/>
          <w:cols w:space="708"/>
          <w:docGrid w:linePitch="360"/>
        </w:sectPr>
      </w:pPr>
      <w:r>
        <w:rPr>
          <w:lang w:val="en-GB"/>
        </w:rPr>
        <w:t>U = Unclear</w:t>
      </w:r>
    </w:p>
    <w:p w14:paraId="74ECE00D" w14:textId="77777777" w:rsidR="00B46DED" w:rsidRDefault="00B46DED" w:rsidP="00E70CAA">
      <w:pPr>
        <w:pStyle w:val="ListParagraph"/>
        <w:rPr>
          <w:lang w:val="en-GB"/>
        </w:rPr>
      </w:pPr>
    </w:p>
    <w:p w14:paraId="666BD569" w14:textId="77777777" w:rsidR="0038470D" w:rsidRPr="00E70CAA" w:rsidRDefault="0038470D" w:rsidP="00E70CAA">
      <w:pPr>
        <w:pStyle w:val="ListParagraph"/>
        <w:rPr>
          <w:lang w:val="en-GB"/>
        </w:rPr>
      </w:pPr>
    </w:p>
    <w:p w14:paraId="1BC8E970" w14:textId="5E333952" w:rsidR="00672C34" w:rsidRDefault="00F2475B">
      <w:pPr>
        <w:pStyle w:val="ListParagraph"/>
        <w:numPr>
          <w:ilvl w:val="1"/>
          <w:numId w:val="2"/>
        </w:numPr>
        <w:rPr>
          <w:b/>
          <w:bCs/>
          <w:lang w:val="en-GB"/>
        </w:rPr>
      </w:pPr>
      <w:r>
        <w:rPr>
          <w:b/>
          <w:bCs/>
          <w:lang w:val="en-GB"/>
        </w:rPr>
        <w:t>Results of Individual Sources of Evidence</w:t>
      </w:r>
    </w:p>
    <w:p w14:paraId="7E6077AA" w14:textId="4AD59529" w:rsidR="00F2475B" w:rsidRDefault="00BD28C1">
      <w:pPr>
        <w:pStyle w:val="ListParagraph"/>
        <w:numPr>
          <w:ilvl w:val="2"/>
          <w:numId w:val="2"/>
        </w:numPr>
        <w:rPr>
          <w:b/>
          <w:bCs/>
          <w:lang w:val="en-GB"/>
        </w:rPr>
      </w:pPr>
      <w:r>
        <w:rPr>
          <w:b/>
          <w:bCs/>
          <w:lang w:val="en-GB"/>
        </w:rPr>
        <w:t>Factors Influencing Medication Adherence</w:t>
      </w:r>
    </w:p>
    <w:p w14:paraId="0D65A09D" w14:textId="54186B04" w:rsidR="00437EF6" w:rsidRDefault="008C505E" w:rsidP="00437EF6">
      <w:pPr>
        <w:pStyle w:val="ListParagraph"/>
        <w:ind w:left="1080"/>
        <w:rPr>
          <w:lang w:val="en-GB"/>
        </w:rPr>
      </w:pPr>
      <w:r>
        <w:rPr>
          <w:lang w:val="en-GB"/>
        </w:rPr>
        <w:t xml:space="preserve">Of the </w:t>
      </w:r>
      <w:r w:rsidR="00D846A6">
        <w:rPr>
          <w:lang w:val="en-GB"/>
        </w:rPr>
        <w:t>four</w:t>
      </w:r>
      <w:r>
        <w:rPr>
          <w:lang w:val="en-GB"/>
        </w:rPr>
        <w:t xml:space="preserve"> studies</w:t>
      </w:r>
      <w:r w:rsidR="004C5A4D">
        <w:rPr>
          <w:lang w:val="en-GB"/>
        </w:rPr>
        <w:t xml:space="preserve"> which</w:t>
      </w:r>
      <w:r>
        <w:rPr>
          <w:lang w:val="en-GB"/>
        </w:rPr>
        <w:t xml:space="preserve"> </w:t>
      </w:r>
      <w:r w:rsidR="003906E3">
        <w:rPr>
          <w:lang w:val="en-GB"/>
        </w:rPr>
        <w:t>investigated</w:t>
      </w:r>
      <w:r>
        <w:rPr>
          <w:lang w:val="en-GB"/>
        </w:rPr>
        <w:t xml:space="preserve"> </w:t>
      </w:r>
      <w:r w:rsidR="004C5A4D">
        <w:rPr>
          <w:lang w:val="en-GB"/>
        </w:rPr>
        <w:t xml:space="preserve">factors influencing medication adherence, </w:t>
      </w:r>
      <w:r w:rsidR="00D846A6">
        <w:rPr>
          <w:lang w:val="en-GB"/>
        </w:rPr>
        <w:t>three</w:t>
      </w:r>
      <w:r w:rsidR="004C5A4D">
        <w:rPr>
          <w:lang w:val="en-GB"/>
        </w:rPr>
        <w:t xml:space="preserve"> </w:t>
      </w:r>
      <w:r w:rsidR="006263E0">
        <w:rPr>
          <w:lang w:val="en-GB"/>
        </w:rPr>
        <w:t xml:space="preserve">were quantitative </w:t>
      </w:r>
      <w:r w:rsidR="0085749C">
        <w:rPr>
          <w:lang w:val="en-GB"/>
        </w:rPr>
        <w:t>cohort studies</w:t>
      </w:r>
      <w:r w:rsidR="003906E3">
        <w:rPr>
          <w:lang w:val="en-GB"/>
        </w:rPr>
        <w:t xml:space="preserve"> [28,29,33]</w:t>
      </w:r>
      <w:r w:rsidR="00F23C7D">
        <w:rPr>
          <w:lang w:val="en-GB"/>
        </w:rPr>
        <w:t xml:space="preserve"> which </w:t>
      </w:r>
      <w:r w:rsidR="004F5E9A">
        <w:rPr>
          <w:lang w:val="en-GB"/>
        </w:rPr>
        <w:t xml:space="preserve">addressed </w:t>
      </w:r>
      <w:r w:rsidR="005779C8">
        <w:rPr>
          <w:lang w:val="en-GB"/>
        </w:rPr>
        <w:t>patient</w:t>
      </w:r>
      <w:r w:rsidR="004F5E9A">
        <w:rPr>
          <w:lang w:val="en-GB"/>
        </w:rPr>
        <w:t xml:space="preserve">-specific factors </w:t>
      </w:r>
      <w:r w:rsidR="00962128">
        <w:rPr>
          <w:lang w:val="en-GB"/>
        </w:rPr>
        <w:t xml:space="preserve">that </w:t>
      </w:r>
      <w:r w:rsidR="00A90C21">
        <w:rPr>
          <w:lang w:val="en-GB"/>
        </w:rPr>
        <w:t>may affect medication adherence. S</w:t>
      </w:r>
      <w:r w:rsidR="009C56D5">
        <w:rPr>
          <w:lang w:val="en-GB"/>
        </w:rPr>
        <w:t xml:space="preserve">everity of disability </w:t>
      </w:r>
      <w:r w:rsidR="00FC2A4B">
        <w:rPr>
          <w:lang w:val="en-GB"/>
        </w:rPr>
        <w:t>was found to be</w:t>
      </w:r>
      <w:r w:rsidR="001E1670">
        <w:rPr>
          <w:lang w:val="en-GB"/>
        </w:rPr>
        <w:t xml:space="preserve"> a</w:t>
      </w:r>
      <w:r w:rsidR="00A90C21">
        <w:rPr>
          <w:lang w:val="en-GB"/>
        </w:rPr>
        <w:t xml:space="preserve"> significant</w:t>
      </w:r>
      <w:r w:rsidR="001E1670">
        <w:rPr>
          <w:lang w:val="en-GB"/>
        </w:rPr>
        <w:t xml:space="preserve"> </w:t>
      </w:r>
      <w:r w:rsidR="009B7E92">
        <w:rPr>
          <w:lang w:val="en-GB"/>
        </w:rPr>
        <w:t>barrier</w:t>
      </w:r>
      <w:r w:rsidR="00173E5A">
        <w:rPr>
          <w:lang w:val="en-GB"/>
        </w:rPr>
        <w:t xml:space="preserve"> to adherence</w:t>
      </w:r>
      <w:r w:rsidR="00FC2A4B">
        <w:rPr>
          <w:lang w:val="en-GB"/>
        </w:rPr>
        <w:t>, w</w:t>
      </w:r>
      <w:r w:rsidR="00A835F4">
        <w:rPr>
          <w:lang w:val="en-GB"/>
        </w:rPr>
        <w:t xml:space="preserve">here lower disability was associated with higher adherence [28]. </w:t>
      </w:r>
      <w:r w:rsidR="0093186C">
        <w:rPr>
          <w:lang w:val="en-GB"/>
        </w:rPr>
        <w:t xml:space="preserve">Two of the </w:t>
      </w:r>
      <w:r w:rsidR="000A44AB">
        <w:rPr>
          <w:lang w:val="en-GB"/>
        </w:rPr>
        <w:t>cohort studies identifie</w:t>
      </w:r>
      <w:r w:rsidR="001D0E28">
        <w:rPr>
          <w:lang w:val="en-GB"/>
        </w:rPr>
        <w:t>d cognitive impairment</w:t>
      </w:r>
      <w:r w:rsidR="00D30DF1">
        <w:rPr>
          <w:lang w:val="en-GB"/>
        </w:rPr>
        <w:t xml:space="preserve"> to be the most</w:t>
      </w:r>
      <w:r w:rsidR="0093186C">
        <w:rPr>
          <w:lang w:val="en-GB"/>
        </w:rPr>
        <w:t xml:space="preserve"> significant</w:t>
      </w:r>
      <w:r w:rsidR="00586AB6">
        <w:rPr>
          <w:lang w:val="en-GB"/>
        </w:rPr>
        <w:t xml:space="preserve"> </w:t>
      </w:r>
      <w:r w:rsidR="009B7E92">
        <w:rPr>
          <w:lang w:val="en-GB"/>
        </w:rPr>
        <w:t>predictor of</w:t>
      </w:r>
      <w:r w:rsidR="00586AB6">
        <w:rPr>
          <w:lang w:val="en-GB"/>
        </w:rPr>
        <w:t xml:space="preserve"> </w:t>
      </w:r>
      <w:r w:rsidR="002112DB">
        <w:rPr>
          <w:lang w:val="en-GB"/>
        </w:rPr>
        <w:t>non-</w:t>
      </w:r>
      <w:r w:rsidR="00586AB6">
        <w:rPr>
          <w:lang w:val="en-GB"/>
        </w:rPr>
        <w:t>adherence</w:t>
      </w:r>
      <w:r w:rsidR="00105A42">
        <w:rPr>
          <w:lang w:val="en-GB"/>
        </w:rPr>
        <w:t xml:space="preserve"> in populations with stroke and Parkinson’s Disease</w:t>
      </w:r>
      <w:r w:rsidR="00586AB6">
        <w:rPr>
          <w:lang w:val="en-GB"/>
        </w:rPr>
        <w:t xml:space="preserve"> </w:t>
      </w:r>
      <w:r w:rsidR="00157F15">
        <w:rPr>
          <w:lang w:val="en-GB"/>
        </w:rPr>
        <w:t>[29,</w:t>
      </w:r>
      <w:r w:rsidR="00105A42">
        <w:rPr>
          <w:lang w:val="en-GB"/>
        </w:rPr>
        <w:t>33]</w:t>
      </w:r>
      <w:r w:rsidR="00337046">
        <w:rPr>
          <w:lang w:val="en-GB"/>
        </w:rPr>
        <w:t xml:space="preserve">. </w:t>
      </w:r>
      <w:r w:rsidR="00174EF1">
        <w:rPr>
          <w:lang w:val="en-GB"/>
        </w:rPr>
        <w:t xml:space="preserve">In particular, Coetzee et al., found that </w:t>
      </w:r>
      <w:r w:rsidR="00A522ED">
        <w:rPr>
          <w:lang w:val="en-GB"/>
        </w:rPr>
        <w:t xml:space="preserve">poor organisation and </w:t>
      </w:r>
      <w:r w:rsidR="00C55552">
        <w:rPr>
          <w:lang w:val="en-GB"/>
        </w:rPr>
        <w:t xml:space="preserve">memory issues account for </w:t>
      </w:r>
      <w:r w:rsidR="00CB1E8A">
        <w:rPr>
          <w:lang w:val="en-GB"/>
        </w:rPr>
        <w:t xml:space="preserve">80% </w:t>
      </w:r>
      <w:r w:rsidR="00DF5DEC">
        <w:rPr>
          <w:lang w:val="en-GB"/>
        </w:rPr>
        <w:t>of non-adherence in a population</w:t>
      </w:r>
      <w:r w:rsidR="008804B1">
        <w:rPr>
          <w:lang w:val="en-GB"/>
        </w:rPr>
        <w:t xml:space="preserve"> post-stroke based on patient self-report [</w:t>
      </w:r>
      <w:r w:rsidR="002112DB">
        <w:rPr>
          <w:lang w:val="en-GB"/>
        </w:rPr>
        <w:t>29].</w:t>
      </w:r>
      <w:r w:rsidR="00DF5DEC">
        <w:rPr>
          <w:lang w:val="en-GB"/>
        </w:rPr>
        <w:t xml:space="preserve"> </w:t>
      </w:r>
      <w:r w:rsidR="00424BA1">
        <w:rPr>
          <w:lang w:val="en-GB"/>
        </w:rPr>
        <w:t xml:space="preserve">However, </w:t>
      </w:r>
      <w:r w:rsidR="00C328A5">
        <w:rPr>
          <w:lang w:val="en-GB"/>
        </w:rPr>
        <w:t xml:space="preserve">Sumbul-Sekerci and colleagues found that </w:t>
      </w:r>
      <w:r w:rsidR="00173E5A">
        <w:rPr>
          <w:lang w:val="en-GB"/>
        </w:rPr>
        <w:t>the</w:t>
      </w:r>
      <w:r w:rsidR="00026F42">
        <w:rPr>
          <w:lang w:val="en-GB"/>
        </w:rPr>
        <w:t xml:space="preserve"> general</w:t>
      </w:r>
      <w:r w:rsidR="00173E5A">
        <w:rPr>
          <w:lang w:val="en-GB"/>
        </w:rPr>
        <w:t xml:space="preserve"> </w:t>
      </w:r>
      <w:r w:rsidR="00C328A5">
        <w:rPr>
          <w:lang w:val="en-GB"/>
        </w:rPr>
        <w:t>ability to manage medication</w:t>
      </w:r>
      <w:r w:rsidR="001B2E84">
        <w:rPr>
          <w:lang w:val="en-GB"/>
        </w:rPr>
        <w:t xml:space="preserve">s </w:t>
      </w:r>
      <w:r w:rsidR="0079698C">
        <w:rPr>
          <w:lang w:val="en-GB"/>
        </w:rPr>
        <w:t xml:space="preserve">may not be a barrier to medication adherence, as </w:t>
      </w:r>
      <w:r w:rsidR="001844C6">
        <w:rPr>
          <w:lang w:val="en-GB"/>
        </w:rPr>
        <w:t xml:space="preserve">no significant relationship was found </w:t>
      </w:r>
      <w:r w:rsidR="00052328">
        <w:rPr>
          <w:lang w:val="en-GB"/>
        </w:rPr>
        <w:t>between these parameters</w:t>
      </w:r>
      <w:r w:rsidR="00026F42">
        <w:rPr>
          <w:lang w:val="en-GB"/>
        </w:rPr>
        <w:t xml:space="preserve"> [33]. This is due in part to the fact that medication management relies solely on intrinsic patient factors</w:t>
      </w:r>
      <w:r w:rsidR="00B45F00">
        <w:rPr>
          <w:lang w:val="en-GB"/>
        </w:rPr>
        <w:t xml:space="preserve"> such as language and memory</w:t>
      </w:r>
      <w:r w:rsidR="00026F42">
        <w:rPr>
          <w:lang w:val="en-GB"/>
        </w:rPr>
        <w:t xml:space="preserve"> which, when supported by treatment and environmental factors, may result in adequate patient adherence </w:t>
      </w:r>
      <w:r w:rsidR="001844C6">
        <w:rPr>
          <w:lang w:val="en-GB"/>
        </w:rPr>
        <w:t>[33].</w:t>
      </w:r>
      <w:r w:rsidR="004C0667">
        <w:rPr>
          <w:lang w:val="en-GB"/>
        </w:rPr>
        <w:t xml:space="preserve"> </w:t>
      </w:r>
    </w:p>
    <w:p w14:paraId="2295779E" w14:textId="2DAE1B6A" w:rsidR="005C7461" w:rsidRDefault="2E788825" w:rsidP="00437EF6">
      <w:pPr>
        <w:pStyle w:val="ListParagraph"/>
        <w:ind w:left="1080"/>
      </w:pPr>
      <w:r w:rsidRPr="141E890C">
        <w:rPr>
          <w:lang w:val="en-GB"/>
        </w:rPr>
        <w:t>Two of the cohort studies investigated</w:t>
      </w:r>
      <w:r w:rsidR="00B45F00">
        <w:rPr>
          <w:lang w:val="en-GB"/>
        </w:rPr>
        <w:t xml:space="preserve"> </w:t>
      </w:r>
      <w:r w:rsidR="7B3D9663" w:rsidRPr="141E890C">
        <w:rPr>
          <w:lang w:val="en-GB"/>
        </w:rPr>
        <w:t>external factors which may impact medication adherence</w:t>
      </w:r>
      <w:r w:rsidR="4FE80F6C" w:rsidRPr="141E890C">
        <w:rPr>
          <w:lang w:val="en-GB"/>
        </w:rPr>
        <w:t xml:space="preserve">. </w:t>
      </w:r>
      <w:r w:rsidR="7B3D9663" w:rsidRPr="141E890C">
        <w:rPr>
          <w:lang w:val="en-GB"/>
        </w:rPr>
        <w:t>B</w:t>
      </w:r>
      <w:r w:rsidR="566B83E3" w:rsidRPr="141E890C">
        <w:rPr>
          <w:lang w:val="en-GB"/>
        </w:rPr>
        <w:t xml:space="preserve">oth Coetzee and </w:t>
      </w:r>
      <w:r w:rsidR="66823E79" w:rsidRPr="141E890C">
        <w:rPr>
          <w:lang w:val="en-GB"/>
        </w:rPr>
        <w:t>Bushnell found that level of medical and social suppo</w:t>
      </w:r>
      <w:r w:rsidR="4E9F0297" w:rsidRPr="141E890C">
        <w:rPr>
          <w:lang w:val="en-GB"/>
        </w:rPr>
        <w:t>rt increased medication adherence [28,29], and h</w:t>
      </w:r>
      <w:r w:rsidR="1F462E58" w:rsidRPr="141E890C">
        <w:rPr>
          <w:lang w:val="en-GB"/>
        </w:rPr>
        <w:t xml:space="preserve">aving medication insurance was independently associated with medication </w:t>
      </w:r>
      <w:r w:rsidR="4242E772" w:rsidRPr="141E890C">
        <w:rPr>
          <w:lang w:val="en-GB"/>
        </w:rPr>
        <w:t>persistence</w:t>
      </w:r>
      <w:r w:rsidR="1E2A0604" w:rsidRPr="141E890C">
        <w:rPr>
          <w:lang w:val="en-GB"/>
        </w:rPr>
        <w:t xml:space="preserve"> [28]</w:t>
      </w:r>
      <w:r w:rsidR="3D551BE0" w:rsidRPr="141E890C">
        <w:rPr>
          <w:lang w:val="en-GB"/>
        </w:rPr>
        <w:t>. However, t</w:t>
      </w:r>
      <w:r w:rsidR="541C1F10">
        <w:t xml:space="preserve">here was no relationship between </w:t>
      </w:r>
      <w:r w:rsidR="00962128">
        <w:t xml:space="preserve">medication </w:t>
      </w:r>
      <w:r w:rsidR="541C1F10">
        <w:t xml:space="preserve">persistence and self-reported satisfaction with provider communication, including physician listening skills, clear medication explanations, physician use of understandable language, and </w:t>
      </w:r>
      <w:r w:rsidR="00185A57">
        <w:t xml:space="preserve">patient </w:t>
      </w:r>
      <w:r w:rsidR="541C1F10">
        <w:t>involvement in treatment decision</w:t>
      </w:r>
      <w:r w:rsidR="7087E5F9">
        <w:t xml:space="preserve"> [28]. </w:t>
      </w:r>
      <w:r w:rsidR="70BEAB65">
        <w:t>Instead, c</w:t>
      </w:r>
      <w:r w:rsidR="1C4C8482">
        <w:t xml:space="preserve">lear patient-provider communication has been shown to increase medication adherence </w:t>
      </w:r>
      <w:r w:rsidR="14263389">
        <w:t>post-stroke</w:t>
      </w:r>
      <w:r w:rsidR="0BF3CB7E">
        <w:t xml:space="preserve">, particularly when the patient is well-educated </w:t>
      </w:r>
      <w:r w:rsidR="00AF7D2D">
        <w:t>about the</w:t>
      </w:r>
      <w:r w:rsidR="0BF3CB7E">
        <w:t xml:space="preserve"> </w:t>
      </w:r>
      <w:r w:rsidR="6747DA8B">
        <w:t xml:space="preserve">reasons behind taking their medication, and how to obtain medication refills [28]. </w:t>
      </w:r>
    </w:p>
    <w:p w14:paraId="3E52BDCB" w14:textId="1CF3D72F" w:rsidR="00C62770" w:rsidRPr="00DD37A7" w:rsidRDefault="73548285" w:rsidP="00DD37A7">
      <w:pPr>
        <w:pStyle w:val="ListParagraph"/>
        <w:ind w:left="1080"/>
      </w:pPr>
      <w:r>
        <w:t xml:space="preserve">The final study provides </w:t>
      </w:r>
      <w:r w:rsidR="63B22DFE">
        <w:t xml:space="preserve">a </w:t>
      </w:r>
      <w:r w:rsidR="682FF671">
        <w:t>qualitative perspective of barriers and facilitators to medication adherence post-stroke</w:t>
      </w:r>
      <w:r w:rsidR="00CC267A">
        <w:t xml:space="preserve"> from the perspectives of patients and caregivers</w:t>
      </w:r>
      <w:r>
        <w:t xml:space="preserve"> [30]</w:t>
      </w:r>
      <w:r w:rsidR="682FF671">
        <w:t>.</w:t>
      </w:r>
      <w:r w:rsidR="00387448">
        <w:t xml:space="preserve"> Dealing with </w:t>
      </w:r>
      <w:r w:rsidR="00D51CB0">
        <w:t xml:space="preserve">medication </w:t>
      </w:r>
      <w:r w:rsidR="00387448">
        <w:t xml:space="preserve">side effects, challenging doctors' prescribing procedures, and negative </w:t>
      </w:r>
      <w:r w:rsidR="7361437F">
        <w:t>preconceptions of medications</w:t>
      </w:r>
      <w:r w:rsidR="00387448">
        <w:t xml:space="preserve"> were perceived as barriers to adherence</w:t>
      </w:r>
      <w:r w:rsidR="3D04E0F4">
        <w:t xml:space="preserve"> [30]</w:t>
      </w:r>
      <w:r w:rsidR="00387448">
        <w:t xml:space="preserve">. </w:t>
      </w:r>
      <w:r w:rsidR="3D04E0F4">
        <w:t>Difficulty swallowing pills</w:t>
      </w:r>
      <w:r w:rsidR="00387448">
        <w:t xml:space="preserve">, financial burden, and </w:t>
      </w:r>
      <w:r w:rsidR="0329C15F">
        <w:t>treatment</w:t>
      </w:r>
      <w:r w:rsidR="00387448">
        <w:t xml:space="preserve"> cost were the main practical obstacles, while managing intentional and </w:t>
      </w:r>
      <w:r w:rsidR="00CC267A">
        <w:t>un</w:t>
      </w:r>
      <w:r w:rsidR="00387448">
        <w:t xml:space="preserve">intentional </w:t>
      </w:r>
      <w:r w:rsidR="00CC267A">
        <w:t>non-</w:t>
      </w:r>
      <w:r w:rsidR="00387448">
        <w:t>adherence often fell to caregivers</w:t>
      </w:r>
      <w:r w:rsidR="005058AE">
        <w:t xml:space="preserve"> in this study</w:t>
      </w:r>
      <w:r w:rsidR="688A5EC1">
        <w:t xml:space="preserve"> [30]</w:t>
      </w:r>
      <w:r w:rsidR="00387448">
        <w:t xml:space="preserve">. Facilitators to </w:t>
      </w:r>
      <w:r w:rsidR="003548AC">
        <w:t xml:space="preserve">adherence </w:t>
      </w:r>
      <w:r w:rsidR="00387448">
        <w:t xml:space="preserve">were lack of side effects, understanding the importance of medication, having positive personal treatment experiences, and personalised treatment plans. Utilizing medicine storage devices, adhering to routines, and receiving assistance from caregivers with prescriptions were </w:t>
      </w:r>
      <w:r w:rsidR="0039772B">
        <w:t xml:space="preserve">considered </w:t>
      </w:r>
      <w:r w:rsidR="00387448">
        <w:t>important drivers of adherence</w:t>
      </w:r>
      <w:r w:rsidR="688A5EC1">
        <w:t xml:space="preserve"> [30]</w:t>
      </w:r>
      <w:r w:rsidR="00387448">
        <w:t>.</w:t>
      </w:r>
    </w:p>
    <w:p w14:paraId="0D979364" w14:textId="77777777" w:rsidR="008C505E" w:rsidRPr="00437EF6" w:rsidRDefault="008C505E" w:rsidP="00437EF6">
      <w:pPr>
        <w:pStyle w:val="ListParagraph"/>
        <w:ind w:left="1080"/>
        <w:rPr>
          <w:lang w:val="en-GB"/>
        </w:rPr>
      </w:pPr>
    </w:p>
    <w:p w14:paraId="3C5959C4" w14:textId="5192D5E1" w:rsidR="00BD28C1" w:rsidRDefault="00BD28C1">
      <w:pPr>
        <w:pStyle w:val="ListParagraph"/>
        <w:numPr>
          <w:ilvl w:val="2"/>
          <w:numId w:val="2"/>
        </w:numPr>
        <w:rPr>
          <w:b/>
          <w:bCs/>
          <w:lang w:val="en-GB"/>
        </w:rPr>
      </w:pPr>
      <w:r>
        <w:rPr>
          <w:b/>
          <w:bCs/>
          <w:lang w:val="en-GB"/>
        </w:rPr>
        <w:t xml:space="preserve">Current Interventions targeting medication </w:t>
      </w:r>
      <w:r w:rsidR="00C349A7">
        <w:rPr>
          <w:b/>
          <w:bCs/>
          <w:lang w:val="en-GB"/>
        </w:rPr>
        <w:t>adherence</w:t>
      </w:r>
    </w:p>
    <w:p w14:paraId="33B8FB9D" w14:textId="1CB1648E" w:rsidR="00D20179" w:rsidRDefault="34329B90" w:rsidP="00D20179">
      <w:pPr>
        <w:pStyle w:val="ListParagraph"/>
        <w:ind w:left="1080"/>
        <w:rPr>
          <w:lang w:val="en-GB"/>
        </w:rPr>
      </w:pPr>
      <w:r w:rsidRPr="141E890C">
        <w:rPr>
          <w:lang w:val="en-GB"/>
        </w:rPr>
        <w:t xml:space="preserve">Of </w:t>
      </w:r>
      <w:r w:rsidR="507024CE" w:rsidRPr="141E890C">
        <w:rPr>
          <w:lang w:val="en-GB"/>
        </w:rPr>
        <w:t xml:space="preserve">the four studies </w:t>
      </w:r>
      <w:r w:rsidR="00F45081">
        <w:rPr>
          <w:lang w:val="en-GB"/>
        </w:rPr>
        <w:t>evaluating</w:t>
      </w:r>
      <w:r w:rsidR="00F45081" w:rsidRPr="141E890C">
        <w:rPr>
          <w:lang w:val="en-GB"/>
        </w:rPr>
        <w:t xml:space="preserve"> </w:t>
      </w:r>
      <w:r w:rsidR="507024CE" w:rsidRPr="141E890C">
        <w:rPr>
          <w:lang w:val="en-GB"/>
        </w:rPr>
        <w:t xml:space="preserve">current approaches to intervention, one was </w:t>
      </w:r>
      <w:r w:rsidR="7DD73D76" w:rsidRPr="141E890C">
        <w:rPr>
          <w:lang w:val="en-GB"/>
        </w:rPr>
        <w:t xml:space="preserve">a randomised control trial [35], </w:t>
      </w:r>
      <w:r w:rsidR="53111206" w:rsidRPr="141E890C">
        <w:rPr>
          <w:lang w:val="en-GB"/>
        </w:rPr>
        <w:t>one a mixed-methods study [</w:t>
      </w:r>
      <w:r w:rsidR="3C4C54AB" w:rsidRPr="141E890C">
        <w:rPr>
          <w:lang w:val="en-GB"/>
        </w:rPr>
        <w:t xml:space="preserve">31], and two were </w:t>
      </w:r>
      <w:r w:rsidR="1650B8B5" w:rsidRPr="141E890C">
        <w:rPr>
          <w:lang w:val="en-GB"/>
        </w:rPr>
        <w:t xml:space="preserve">cohort studies [32,34]. </w:t>
      </w:r>
      <w:r w:rsidR="0BF27800" w:rsidRPr="141E890C">
        <w:rPr>
          <w:lang w:val="en-GB"/>
        </w:rPr>
        <w:t xml:space="preserve">Three of </w:t>
      </w:r>
      <w:r w:rsidR="55751482" w:rsidRPr="141E890C">
        <w:rPr>
          <w:lang w:val="en-GB"/>
        </w:rPr>
        <w:t xml:space="preserve">the interventions </w:t>
      </w:r>
      <w:r w:rsidR="00BB7A3B">
        <w:rPr>
          <w:lang w:val="en-GB"/>
        </w:rPr>
        <w:t xml:space="preserve">evaluated </w:t>
      </w:r>
      <w:r w:rsidR="276AD8A8" w:rsidRPr="141E890C">
        <w:rPr>
          <w:lang w:val="en-GB"/>
        </w:rPr>
        <w:t>medication reminder services and tools [</w:t>
      </w:r>
      <w:r w:rsidR="6EA4189F" w:rsidRPr="141E890C">
        <w:rPr>
          <w:lang w:val="en-GB"/>
        </w:rPr>
        <w:t xml:space="preserve">31, 34, 35]. </w:t>
      </w:r>
      <w:r w:rsidR="7D1A6C2A" w:rsidRPr="141E890C">
        <w:rPr>
          <w:lang w:val="en-GB"/>
        </w:rPr>
        <w:t>Kim et al.,</w:t>
      </w:r>
      <w:r w:rsidR="7E2468EF" w:rsidRPr="141E890C">
        <w:rPr>
          <w:lang w:val="en-GB"/>
        </w:rPr>
        <w:t xml:space="preserve"> </w:t>
      </w:r>
      <w:r w:rsidR="00FC3D20">
        <w:rPr>
          <w:lang w:val="en-GB"/>
        </w:rPr>
        <w:t xml:space="preserve">(2022) </w:t>
      </w:r>
      <w:r w:rsidR="7E2468EF" w:rsidRPr="141E890C">
        <w:rPr>
          <w:lang w:val="en-GB"/>
        </w:rPr>
        <w:t xml:space="preserve">aimed to evaluate the effectiveness of automated telephone reminders </w:t>
      </w:r>
      <w:r w:rsidR="607AAA5F" w:rsidRPr="141E890C">
        <w:rPr>
          <w:lang w:val="en-GB"/>
        </w:rPr>
        <w:t xml:space="preserve">in improving medication adherence </w:t>
      </w:r>
      <w:r w:rsidR="4A32FB46" w:rsidRPr="141E890C">
        <w:rPr>
          <w:lang w:val="en-GB"/>
        </w:rPr>
        <w:t xml:space="preserve">for patients with mild cognitive impairment [35]. </w:t>
      </w:r>
      <w:r w:rsidR="5633D5C5" w:rsidRPr="141E890C">
        <w:rPr>
          <w:lang w:val="en-GB"/>
        </w:rPr>
        <w:t xml:space="preserve">No significant difference was found between treatment and control groups, </w:t>
      </w:r>
      <w:r w:rsidR="757237A7" w:rsidRPr="141E890C">
        <w:rPr>
          <w:lang w:val="en-GB"/>
        </w:rPr>
        <w:t xml:space="preserve">however subgroup analysis </w:t>
      </w:r>
      <w:r w:rsidR="3A98FEB7" w:rsidRPr="141E890C">
        <w:rPr>
          <w:lang w:val="en-GB"/>
        </w:rPr>
        <w:t xml:space="preserve">showed better medication adherence </w:t>
      </w:r>
      <w:r w:rsidR="7D7E9C94" w:rsidRPr="141E890C">
        <w:rPr>
          <w:lang w:val="en-GB"/>
        </w:rPr>
        <w:t xml:space="preserve">among participants with over </w:t>
      </w:r>
      <w:r w:rsidR="7D7E9C94" w:rsidRPr="141E890C">
        <w:rPr>
          <w:lang w:val="en-GB"/>
        </w:rPr>
        <w:lastRenderedPageBreak/>
        <w:t xml:space="preserve">70% </w:t>
      </w:r>
      <w:r w:rsidR="00F45081">
        <w:rPr>
          <w:lang w:val="en-GB"/>
        </w:rPr>
        <w:t>answering</w:t>
      </w:r>
      <w:r w:rsidR="00F45081" w:rsidRPr="141E890C">
        <w:rPr>
          <w:lang w:val="en-GB"/>
        </w:rPr>
        <w:t xml:space="preserve"> </w:t>
      </w:r>
      <w:r w:rsidR="7D7E9C94" w:rsidRPr="141E890C">
        <w:rPr>
          <w:lang w:val="en-GB"/>
        </w:rPr>
        <w:t xml:space="preserve">rates </w:t>
      </w:r>
      <w:r w:rsidR="48B2B8BA" w:rsidRPr="141E890C">
        <w:rPr>
          <w:lang w:val="en-GB"/>
        </w:rPr>
        <w:t xml:space="preserve">to the telephone reminders </w:t>
      </w:r>
      <w:r w:rsidR="7D7E9C94" w:rsidRPr="141E890C">
        <w:rPr>
          <w:lang w:val="en-GB"/>
        </w:rPr>
        <w:t>[35].</w:t>
      </w:r>
      <w:r w:rsidR="0691E2BA" w:rsidRPr="141E890C">
        <w:rPr>
          <w:lang w:val="en-GB"/>
        </w:rPr>
        <w:t xml:space="preserve"> </w:t>
      </w:r>
      <w:r w:rsidR="12E5ECFD" w:rsidRPr="141E890C">
        <w:rPr>
          <w:lang w:val="en-GB"/>
        </w:rPr>
        <w:t xml:space="preserve">Tellier and colleagues </w:t>
      </w:r>
      <w:r w:rsidR="478404A5" w:rsidRPr="141E890C">
        <w:rPr>
          <w:lang w:val="en-GB"/>
        </w:rPr>
        <w:t xml:space="preserve">investigated the effect </w:t>
      </w:r>
      <w:r w:rsidR="55F13428" w:rsidRPr="141E890C">
        <w:rPr>
          <w:lang w:val="en-GB"/>
        </w:rPr>
        <w:t xml:space="preserve">of an electronic pillbox on daily medication management </w:t>
      </w:r>
      <w:r w:rsidR="0A0345FF" w:rsidRPr="141E890C">
        <w:rPr>
          <w:lang w:val="en-GB"/>
        </w:rPr>
        <w:t xml:space="preserve">for people with Alzheimer’s Disease </w:t>
      </w:r>
      <w:r w:rsidR="6AB526FA" w:rsidRPr="141E890C">
        <w:rPr>
          <w:lang w:val="en-GB"/>
        </w:rPr>
        <w:t>[34]</w:t>
      </w:r>
      <w:r w:rsidR="0A0345FF" w:rsidRPr="141E890C">
        <w:rPr>
          <w:lang w:val="en-GB"/>
        </w:rPr>
        <w:t xml:space="preserve"> and found </w:t>
      </w:r>
      <w:r w:rsidR="331BB0E4" w:rsidRPr="141E890C">
        <w:rPr>
          <w:lang w:val="en-GB"/>
        </w:rPr>
        <w:t xml:space="preserve">significant effect sizes, with participants showing </w:t>
      </w:r>
      <w:r w:rsidR="4DA536F3" w:rsidRPr="141E890C">
        <w:rPr>
          <w:lang w:val="en-GB"/>
        </w:rPr>
        <w:t xml:space="preserve">over 80% medication adherence 12 weeks post-training [34]. However, it is worth noting the </w:t>
      </w:r>
      <w:r w:rsidR="00447129">
        <w:rPr>
          <w:lang w:val="en-GB"/>
        </w:rPr>
        <w:t>small</w:t>
      </w:r>
      <w:r w:rsidR="00447129" w:rsidRPr="141E890C">
        <w:rPr>
          <w:lang w:val="en-GB"/>
        </w:rPr>
        <w:t xml:space="preserve"> </w:t>
      </w:r>
      <w:r w:rsidR="4DA536F3" w:rsidRPr="141E890C">
        <w:rPr>
          <w:lang w:val="en-GB"/>
        </w:rPr>
        <w:t>sample</w:t>
      </w:r>
      <w:r w:rsidR="5F658FD3" w:rsidRPr="141E890C">
        <w:rPr>
          <w:lang w:val="en-GB"/>
        </w:rPr>
        <w:t xml:space="preserve"> of four patients in this study, </w:t>
      </w:r>
      <w:r w:rsidR="1B586961" w:rsidRPr="141E890C">
        <w:rPr>
          <w:lang w:val="en-GB"/>
        </w:rPr>
        <w:t xml:space="preserve">and limited follow-up period [34]. </w:t>
      </w:r>
    </w:p>
    <w:p w14:paraId="54C1AF42" w14:textId="2DD4DA93" w:rsidR="00A20F3B" w:rsidRDefault="00A20F3B" w:rsidP="00D20179">
      <w:pPr>
        <w:pStyle w:val="ListParagraph"/>
        <w:ind w:left="1080"/>
      </w:pPr>
      <w:r w:rsidRPr="783F2ACF">
        <w:rPr>
          <w:lang w:val="en-GB"/>
        </w:rPr>
        <w:t xml:space="preserve">While </w:t>
      </w:r>
      <w:r w:rsidR="006026EF" w:rsidRPr="783F2ACF">
        <w:rPr>
          <w:lang w:val="en-GB"/>
        </w:rPr>
        <w:t>Nichols et al.,</w:t>
      </w:r>
      <w:r w:rsidR="00CF3393" w:rsidRPr="783F2ACF">
        <w:rPr>
          <w:lang w:val="en-GB"/>
        </w:rPr>
        <w:t xml:space="preserve"> [31]</w:t>
      </w:r>
      <w:r w:rsidR="00BB7A3B">
        <w:rPr>
          <w:lang w:val="en-GB"/>
        </w:rPr>
        <w:t>evaluated</w:t>
      </w:r>
      <w:r w:rsidR="001768C3" w:rsidRPr="783F2ACF">
        <w:rPr>
          <w:lang w:val="en-GB"/>
        </w:rPr>
        <w:t xml:space="preserve"> a similar </w:t>
      </w:r>
      <w:r w:rsidR="00AE773E" w:rsidRPr="783F2ACF">
        <w:rPr>
          <w:lang w:val="en-GB"/>
        </w:rPr>
        <w:t xml:space="preserve">automated text, phone call or email </w:t>
      </w:r>
      <w:r w:rsidR="00D24BEA" w:rsidRPr="783F2ACF">
        <w:rPr>
          <w:lang w:val="en-GB"/>
        </w:rPr>
        <w:t xml:space="preserve">service </w:t>
      </w:r>
      <w:r w:rsidR="00AE773E" w:rsidRPr="783F2ACF">
        <w:rPr>
          <w:lang w:val="en-GB"/>
        </w:rPr>
        <w:t>to</w:t>
      </w:r>
      <w:r w:rsidR="00D24BEA" w:rsidRPr="783F2ACF">
        <w:rPr>
          <w:lang w:val="en-GB"/>
        </w:rPr>
        <w:t xml:space="preserve"> that described by</w:t>
      </w:r>
      <w:r w:rsidR="00AE773E" w:rsidRPr="783F2ACF">
        <w:rPr>
          <w:lang w:val="en-GB"/>
        </w:rPr>
        <w:t xml:space="preserve"> Kim et al [</w:t>
      </w:r>
      <w:r w:rsidR="00CF3393" w:rsidRPr="783F2ACF">
        <w:rPr>
          <w:lang w:val="en-GB"/>
        </w:rPr>
        <w:t>35]</w:t>
      </w:r>
      <w:r w:rsidR="00B63BAD" w:rsidRPr="783F2ACF">
        <w:rPr>
          <w:lang w:val="en-GB"/>
        </w:rPr>
        <w:t xml:space="preserve">, </w:t>
      </w:r>
      <w:r w:rsidR="00FA2D9D" w:rsidRPr="783F2ACF">
        <w:rPr>
          <w:lang w:val="en-GB"/>
        </w:rPr>
        <w:t>they aimed to categorise</w:t>
      </w:r>
      <w:r w:rsidR="00DC00CD" w:rsidRPr="783F2ACF">
        <w:rPr>
          <w:lang w:val="en-GB"/>
        </w:rPr>
        <w:t xml:space="preserve"> feasibility and</w:t>
      </w:r>
      <w:r w:rsidR="00FA2D9D" w:rsidRPr="783F2ACF">
        <w:rPr>
          <w:lang w:val="en-GB"/>
        </w:rPr>
        <w:t xml:space="preserve"> </w:t>
      </w:r>
      <w:r w:rsidR="00DC00CD" w:rsidRPr="783F2ACF">
        <w:rPr>
          <w:lang w:val="en-GB"/>
        </w:rPr>
        <w:t>stakeholder attitudes towards the service [</w:t>
      </w:r>
      <w:r w:rsidR="00330990" w:rsidRPr="783F2ACF">
        <w:rPr>
          <w:lang w:val="en-GB"/>
        </w:rPr>
        <w:t>31].</w:t>
      </w:r>
      <w:r w:rsidR="00F01969" w:rsidRPr="783F2ACF">
        <w:rPr>
          <w:lang w:val="en-GB"/>
        </w:rPr>
        <w:t xml:space="preserve"> </w:t>
      </w:r>
      <w:r w:rsidR="23E206A7" w:rsidRPr="783F2ACF">
        <w:rPr>
          <w:lang w:val="en-GB"/>
        </w:rPr>
        <w:t>Almost all (</w:t>
      </w:r>
      <w:r w:rsidR="00F01969" w:rsidRPr="783F2ACF">
        <w:rPr>
          <w:lang w:val="en-GB"/>
        </w:rPr>
        <w:t>99.5%</w:t>
      </w:r>
      <w:r w:rsidR="6D7A72D3" w:rsidRPr="783F2ACF">
        <w:rPr>
          <w:lang w:val="en-GB"/>
        </w:rPr>
        <w:t>)</w:t>
      </w:r>
      <w:r w:rsidR="005C1575" w:rsidRPr="783F2ACF">
        <w:rPr>
          <w:lang w:val="en-GB"/>
        </w:rPr>
        <w:t xml:space="preserve"> participants expressed </w:t>
      </w:r>
      <w:r w:rsidR="005C1575">
        <w:t>a willingness to participate in a research study involving m</w:t>
      </w:r>
      <w:r w:rsidR="005336A3">
        <w:t>obile h</w:t>
      </w:r>
      <w:r w:rsidR="005C1575">
        <w:t>ealth</w:t>
      </w:r>
      <w:r w:rsidR="005336A3">
        <w:t xml:space="preserve"> services</w:t>
      </w:r>
      <w:r w:rsidR="005C1575">
        <w:t xml:space="preserve">, and </w:t>
      </w:r>
      <w:r w:rsidR="003D777A">
        <w:t xml:space="preserve">96.5% thought such a study would be </w:t>
      </w:r>
      <w:r w:rsidR="00243403">
        <w:t>worthwhile to conduct.</w:t>
      </w:r>
      <w:r w:rsidR="00685485">
        <w:t xml:space="preserve"> Cost, training</w:t>
      </w:r>
      <w:r w:rsidR="0021630F">
        <w:t>,</w:t>
      </w:r>
      <w:r w:rsidR="00685485">
        <w:t xml:space="preserve"> and continuity of connectivity were identified as the greatest barriers to accessing these mobile health services </w:t>
      </w:r>
      <w:r w:rsidR="00073424">
        <w:t>[31].</w:t>
      </w:r>
    </w:p>
    <w:p w14:paraId="7851088F" w14:textId="68C37F84" w:rsidR="00DD37A7" w:rsidRPr="00B6519E" w:rsidRDefault="00BB7A3B" w:rsidP="00B6519E">
      <w:pPr>
        <w:pStyle w:val="ListParagraph"/>
        <w:ind w:left="1080"/>
      </w:pPr>
      <w:r>
        <w:t xml:space="preserve">Oyesanya et al. (2020) </w:t>
      </w:r>
      <w:r w:rsidR="0095087F">
        <w:t xml:space="preserve">describes the </w:t>
      </w:r>
      <w:r w:rsidR="00B6519E">
        <w:t>efficacy of pre-discharge, medication management intervention to improve perceived knowledge and perceived confidence for post-discharge medication management for rehabilitation patients with spinal cord injuries</w:t>
      </w:r>
      <w:r w:rsidR="000B77D9">
        <w:t xml:space="preserve"> (SCI)</w:t>
      </w:r>
      <w:r w:rsidR="00FE5622">
        <w:t xml:space="preserve"> </w:t>
      </w:r>
      <w:r w:rsidR="00B6519E">
        <w:t xml:space="preserve">and families of patients with </w:t>
      </w:r>
      <w:r w:rsidR="000B77D9">
        <w:t>SCI</w:t>
      </w:r>
      <w:r w:rsidR="00B6519E">
        <w:t xml:space="preserve"> or acquired brain injuries</w:t>
      </w:r>
      <w:r w:rsidR="000B77D9">
        <w:t xml:space="preserve"> (ABI)</w:t>
      </w:r>
      <w:r w:rsidR="00FE5622">
        <w:t xml:space="preserve"> [32]. </w:t>
      </w:r>
      <w:r w:rsidR="00BD478E">
        <w:t xml:space="preserve">Findings showed that </w:t>
      </w:r>
      <w:r w:rsidR="00717D69">
        <w:t xml:space="preserve">at 60-days post-discharge, treatment group patients and family members </w:t>
      </w:r>
      <w:r w:rsidR="00F45081">
        <w:t xml:space="preserve">of patients with </w:t>
      </w:r>
      <w:r w:rsidR="000B77D9">
        <w:t>ABI</w:t>
      </w:r>
      <w:r w:rsidR="00F45081">
        <w:t xml:space="preserve"> </w:t>
      </w:r>
      <w:r w:rsidR="00717D69">
        <w:t>were more likely to use a medication list and a pillbox to manage the patient’s medications effectively [32].</w:t>
      </w:r>
      <w:r w:rsidR="004D63DA">
        <w:t xml:space="preserve"> </w:t>
      </w:r>
      <w:r w:rsidR="00C1461B">
        <w:t xml:space="preserve">There was no significant relationship found between </w:t>
      </w:r>
      <w:r w:rsidR="008D593B">
        <w:t xml:space="preserve">the intervention, perceived knowledge, and perceived confidence </w:t>
      </w:r>
      <w:r w:rsidR="00B115E3">
        <w:t>at 60 days post-discharge [32].</w:t>
      </w:r>
    </w:p>
    <w:p w14:paraId="07B6BC2C" w14:textId="77777777" w:rsidR="00177836" w:rsidRDefault="00177836" w:rsidP="00177836">
      <w:pPr>
        <w:pStyle w:val="ListParagraph"/>
        <w:ind w:left="1080"/>
        <w:rPr>
          <w:b/>
          <w:bCs/>
          <w:lang w:val="en-GB"/>
        </w:rPr>
      </w:pPr>
    </w:p>
    <w:p w14:paraId="0A2682E2" w14:textId="0D146E84" w:rsidR="00BD28C1" w:rsidRDefault="56DC8A4C">
      <w:pPr>
        <w:pStyle w:val="ListParagraph"/>
        <w:numPr>
          <w:ilvl w:val="2"/>
          <w:numId w:val="2"/>
        </w:numPr>
        <w:rPr>
          <w:b/>
          <w:bCs/>
          <w:lang w:val="en-GB"/>
        </w:rPr>
      </w:pPr>
      <w:r w:rsidRPr="141E890C">
        <w:rPr>
          <w:b/>
          <w:bCs/>
          <w:lang w:val="en-GB"/>
        </w:rPr>
        <w:t xml:space="preserve">Current measures of </w:t>
      </w:r>
      <w:r w:rsidR="711D0B2E" w:rsidRPr="141E890C">
        <w:rPr>
          <w:b/>
          <w:bCs/>
          <w:lang w:val="en-GB"/>
        </w:rPr>
        <w:t xml:space="preserve">medication adherence </w:t>
      </w:r>
    </w:p>
    <w:p w14:paraId="0B518BAE" w14:textId="2DA210E5" w:rsidR="00292083" w:rsidRPr="00177836" w:rsidRDefault="00DC3137" w:rsidP="00177836">
      <w:pPr>
        <w:pStyle w:val="ListParagraph"/>
        <w:ind w:left="1080"/>
        <w:rPr>
          <w:lang w:val="en-GB"/>
        </w:rPr>
      </w:pPr>
      <w:r>
        <w:rPr>
          <w:rFonts w:cstheme="minorHAnsi"/>
        </w:rPr>
        <w:t xml:space="preserve">A </w:t>
      </w:r>
      <w:r w:rsidR="00E47DFE">
        <w:rPr>
          <w:rFonts w:cstheme="minorHAnsi"/>
        </w:rPr>
        <w:t xml:space="preserve">range </w:t>
      </w:r>
      <w:r>
        <w:rPr>
          <w:rFonts w:cstheme="minorHAnsi"/>
        </w:rPr>
        <w:t xml:space="preserve">of methods were used to measure </w:t>
      </w:r>
      <w:r w:rsidR="00E47DFE">
        <w:rPr>
          <w:rFonts w:cstheme="minorHAnsi"/>
        </w:rPr>
        <w:t xml:space="preserve">and report </w:t>
      </w:r>
      <w:r>
        <w:rPr>
          <w:rFonts w:cstheme="minorHAnsi"/>
        </w:rPr>
        <w:t xml:space="preserve">medication adherence </w:t>
      </w:r>
      <w:r w:rsidR="003A547B">
        <w:rPr>
          <w:rFonts w:cstheme="minorHAnsi"/>
        </w:rPr>
        <w:t>in each</w:t>
      </w:r>
      <w:r w:rsidR="009D6797">
        <w:rPr>
          <w:rFonts w:cstheme="minorHAnsi"/>
        </w:rPr>
        <w:t xml:space="preserve"> </w:t>
      </w:r>
      <w:r w:rsidR="00E47DFE">
        <w:rPr>
          <w:rFonts w:cstheme="minorHAnsi"/>
        </w:rPr>
        <w:t xml:space="preserve">included </w:t>
      </w:r>
      <w:r w:rsidR="009D6797">
        <w:rPr>
          <w:rFonts w:cstheme="minorHAnsi"/>
        </w:rPr>
        <w:t>paper</w:t>
      </w:r>
      <w:r w:rsidR="003A547B">
        <w:rPr>
          <w:rFonts w:cstheme="minorHAnsi"/>
        </w:rPr>
        <w:t xml:space="preserve">. The Morisky Medication Adherence </w:t>
      </w:r>
      <w:r w:rsidR="009C4445">
        <w:rPr>
          <w:rFonts w:cstheme="minorHAnsi"/>
        </w:rPr>
        <w:t>Scale was employed in two studies [</w:t>
      </w:r>
      <w:r w:rsidR="00D03BF3">
        <w:rPr>
          <w:rFonts w:cstheme="minorHAnsi"/>
        </w:rPr>
        <w:t>31,33]</w:t>
      </w:r>
      <w:r w:rsidR="00B1749D">
        <w:rPr>
          <w:rFonts w:cstheme="minorHAnsi"/>
        </w:rPr>
        <w:t>, while an adapted</w:t>
      </w:r>
      <w:r w:rsidR="00922843">
        <w:rPr>
          <w:rFonts w:cstheme="minorHAnsi"/>
        </w:rPr>
        <w:t>, unvalidated</w:t>
      </w:r>
      <w:r w:rsidR="00B1749D">
        <w:rPr>
          <w:rFonts w:cstheme="minorHAnsi"/>
        </w:rPr>
        <w:t xml:space="preserve"> form</w:t>
      </w:r>
      <w:r w:rsidR="0065466D">
        <w:rPr>
          <w:rFonts w:cstheme="minorHAnsi"/>
        </w:rPr>
        <w:t xml:space="preserve"> of the scale was used in a third </w:t>
      </w:r>
      <w:r w:rsidR="00922843">
        <w:rPr>
          <w:rFonts w:cstheme="minorHAnsi"/>
        </w:rPr>
        <w:t>[32]</w:t>
      </w:r>
      <w:r w:rsidR="00D03BF3">
        <w:rPr>
          <w:rFonts w:cstheme="minorHAnsi"/>
        </w:rPr>
        <w:t>.</w:t>
      </w:r>
      <w:r w:rsidR="00750A8A">
        <w:rPr>
          <w:rFonts w:cstheme="minorHAnsi"/>
        </w:rPr>
        <w:t xml:space="preserve"> Pill counts </w:t>
      </w:r>
      <w:r w:rsidR="00BB7A3B">
        <w:rPr>
          <w:rFonts w:cstheme="minorHAnsi"/>
        </w:rPr>
        <w:t xml:space="preserve">alone </w:t>
      </w:r>
      <w:r w:rsidR="00750A8A">
        <w:rPr>
          <w:rFonts w:cstheme="minorHAnsi"/>
        </w:rPr>
        <w:t xml:space="preserve">were </w:t>
      </w:r>
      <w:r w:rsidR="00A22E29">
        <w:rPr>
          <w:rFonts w:cstheme="minorHAnsi"/>
        </w:rPr>
        <w:t>used in one</w:t>
      </w:r>
      <w:r w:rsidR="00475CB3">
        <w:rPr>
          <w:rFonts w:cstheme="minorHAnsi"/>
        </w:rPr>
        <w:t xml:space="preserve"> investigation </w:t>
      </w:r>
      <w:r w:rsidR="00A22E29">
        <w:rPr>
          <w:rFonts w:cstheme="minorHAnsi"/>
        </w:rPr>
        <w:t>[</w:t>
      </w:r>
      <w:r w:rsidR="00A30E32">
        <w:rPr>
          <w:rFonts w:cstheme="minorHAnsi"/>
        </w:rPr>
        <w:t>35]</w:t>
      </w:r>
      <w:r w:rsidR="00D07AE2">
        <w:rPr>
          <w:rFonts w:cstheme="minorHAnsi"/>
        </w:rPr>
        <w:t>,and w</w:t>
      </w:r>
      <w:r w:rsidR="00A22E29">
        <w:rPr>
          <w:rFonts w:cstheme="minorHAnsi"/>
        </w:rPr>
        <w:t xml:space="preserve">ere </w:t>
      </w:r>
      <w:r w:rsidR="00D07AE2">
        <w:rPr>
          <w:rFonts w:cstheme="minorHAnsi"/>
        </w:rPr>
        <w:t>supplemented with patient self-report</w:t>
      </w:r>
      <w:r w:rsidR="00F5658E">
        <w:rPr>
          <w:rFonts w:cstheme="minorHAnsi"/>
        </w:rPr>
        <w:t xml:space="preserve"> using the </w:t>
      </w:r>
      <w:r w:rsidR="00A22E29">
        <w:rPr>
          <w:rFonts w:cstheme="minorHAnsi"/>
        </w:rPr>
        <w:t>Treatment Assessment Schedule</w:t>
      </w:r>
      <w:r w:rsidR="00D07AE2">
        <w:rPr>
          <w:rFonts w:cstheme="minorHAnsi"/>
        </w:rPr>
        <w:t xml:space="preserve"> in</w:t>
      </w:r>
      <w:r w:rsidR="00A22E29">
        <w:rPr>
          <w:rFonts w:cstheme="minorHAnsi"/>
        </w:rPr>
        <w:t xml:space="preserve"> another</w:t>
      </w:r>
      <w:r w:rsidR="00D07AE2">
        <w:rPr>
          <w:rFonts w:cstheme="minorHAnsi"/>
        </w:rPr>
        <w:t xml:space="preserve"> [29]</w:t>
      </w:r>
      <w:r w:rsidR="00E46D2A">
        <w:rPr>
          <w:rFonts w:cstheme="minorHAnsi"/>
        </w:rPr>
        <w:t xml:space="preserve">. </w:t>
      </w:r>
      <w:r w:rsidR="00B575F4">
        <w:rPr>
          <w:rFonts w:cstheme="minorHAnsi"/>
        </w:rPr>
        <w:t xml:space="preserve">One study determined </w:t>
      </w:r>
      <w:r w:rsidR="00325DD2">
        <w:rPr>
          <w:rFonts w:cstheme="minorHAnsi"/>
        </w:rPr>
        <w:t xml:space="preserve">adherence </w:t>
      </w:r>
      <w:r w:rsidR="00B575F4" w:rsidRPr="00D03BF3">
        <w:rPr>
          <w:lang w:val="en-GB"/>
        </w:rPr>
        <w:t>by comparing the complete discharge medication</w:t>
      </w:r>
      <w:r w:rsidR="00B575F4">
        <w:rPr>
          <w:lang w:val="en-GB"/>
        </w:rPr>
        <w:t xml:space="preserve"> </w:t>
      </w:r>
      <w:r w:rsidR="00B575F4" w:rsidRPr="00B575F4">
        <w:rPr>
          <w:lang w:val="en-GB"/>
        </w:rPr>
        <w:t xml:space="preserve">list with </w:t>
      </w:r>
      <w:r w:rsidR="00F64EE6">
        <w:rPr>
          <w:lang w:val="en-GB"/>
        </w:rPr>
        <w:t>self-reported</w:t>
      </w:r>
      <w:r w:rsidR="00B575F4" w:rsidRPr="00B575F4">
        <w:rPr>
          <w:lang w:val="en-GB"/>
        </w:rPr>
        <w:t xml:space="preserve"> medications </w:t>
      </w:r>
      <w:r w:rsidR="007C7B8A">
        <w:rPr>
          <w:lang w:val="en-GB"/>
        </w:rPr>
        <w:t>currently used by the patient [28].</w:t>
      </w:r>
      <w:r w:rsidR="00C23472">
        <w:rPr>
          <w:lang w:val="en-GB"/>
        </w:rPr>
        <w:t xml:space="preserve"> </w:t>
      </w:r>
      <w:r w:rsidR="00BB7A3B">
        <w:rPr>
          <w:lang w:val="en-GB"/>
        </w:rPr>
        <w:t>Tellier and colleagues (2020) measured adherence using</w:t>
      </w:r>
      <w:r w:rsidR="00F45081">
        <w:rPr>
          <w:lang w:val="en-GB"/>
        </w:rPr>
        <w:t xml:space="preserve"> a</w:t>
      </w:r>
      <w:r w:rsidR="00FF48B5">
        <w:rPr>
          <w:lang w:val="en-GB"/>
        </w:rPr>
        <w:t xml:space="preserve">n adherence log </w:t>
      </w:r>
      <w:r w:rsidR="000B5FDE">
        <w:rPr>
          <w:lang w:val="en-GB"/>
        </w:rPr>
        <w:t xml:space="preserve">which </w:t>
      </w:r>
      <w:r w:rsidR="00FF48B5">
        <w:rPr>
          <w:lang w:val="en-GB"/>
        </w:rPr>
        <w:t>was generated using an electronic medication management</w:t>
      </w:r>
      <w:r w:rsidR="00F45081">
        <w:rPr>
          <w:lang w:val="en-GB"/>
        </w:rPr>
        <w:t xml:space="preserve"> device</w:t>
      </w:r>
      <w:r w:rsidR="00BC5DCC">
        <w:rPr>
          <w:lang w:val="en-GB"/>
        </w:rPr>
        <w:t xml:space="preserve">, and monitored </w:t>
      </w:r>
      <w:r w:rsidR="00177836" w:rsidRPr="00177836">
        <w:rPr>
          <w:lang w:val="en-GB"/>
        </w:rPr>
        <w:t>medication taken correctly, taken late, error</w:t>
      </w:r>
      <w:r w:rsidR="00177836">
        <w:rPr>
          <w:lang w:val="en-GB"/>
        </w:rPr>
        <w:t>s</w:t>
      </w:r>
      <w:r w:rsidR="00177836" w:rsidRPr="00177836">
        <w:rPr>
          <w:lang w:val="en-GB"/>
        </w:rPr>
        <w:t xml:space="preserve"> or omission</w:t>
      </w:r>
      <w:r w:rsidR="00177836">
        <w:rPr>
          <w:lang w:val="en-GB"/>
        </w:rPr>
        <w:t>s</w:t>
      </w:r>
      <w:r w:rsidR="009D6797" w:rsidRPr="00177836">
        <w:rPr>
          <w:lang w:val="en-GB"/>
        </w:rPr>
        <w:t xml:space="preserve"> [34].</w:t>
      </w:r>
    </w:p>
    <w:p w14:paraId="31DBC88C" w14:textId="77777777" w:rsidR="004D77E9" w:rsidRDefault="004D77E9" w:rsidP="004D77E9">
      <w:pPr>
        <w:pStyle w:val="ListParagraph"/>
        <w:ind w:left="1080"/>
        <w:rPr>
          <w:b/>
          <w:bCs/>
          <w:lang w:val="en-GB"/>
        </w:rPr>
      </w:pPr>
    </w:p>
    <w:p w14:paraId="1E82AB03" w14:textId="11E5FB0C" w:rsidR="00D176BE" w:rsidRDefault="004D77E9">
      <w:pPr>
        <w:pStyle w:val="ListParagraph"/>
        <w:numPr>
          <w:ilvl w:val="0"/>
          <w:numId w:val="2"/>
        </w:numPr>
        <w:rPr>
          <w:b/>
          <w:bCs/>
          <w:lang w:val="en-GB"/>
        </w:rPr>
      </w:pPr>
      <w:r>
        <w:rPr>
          <w:b/>
          <w:bCs/>
          <w:lang w:val="en-GB"/>
        </w:rPr>
        <w:t>Discussion</w:t>
      </w:r>
    </w:p>
    <w:p w14:paraId="1CA972D2" w14:textId="2D3A7DE9" w:rsidR="00114A02" w:rsidRPr="00114A02" w:rsidRDefault="00114A02" w:rsidP="00114A02">
      <w:pPr>
        <w:pStyle w:val="ListParagraph"/>
        <w:rPr>
          <w:lang w:val="en-GB"/>
        </w:rPr>
      </w:pPr>
      <w:r w:rsidRPr="00114A02">
        <w:rPr>
          <w:lang w:val="en-GB"/>
        </w:rPr>
        <w:t>This</w:t>
      </w:r>
      <w:r>
        <w:rPr>
          <w:lang w:val="en-GB"/>
        </w:rPr>
        <w:t xml:space="preserve"> </w:t>
      </w:r>
      <w:r w:rsidR="005219D8">
        <w:rPr>
          <w:lang w:val="en-GB"/>
        </w:rPr>
        <w:t>systematic review</w:t>
      </w:r>
      <w:r w:rsidR="00A06AFA">
        <w:rPr>
          <w:lang w:val="en-GB"/>
        </w:rPr>
        <w:t xml:space="preserve"> is among the first to specifically examine</w:t>
      </w:r>
      <w:r w:rsidR="005219D8">
        <w:rPr>
          <w:lang w:val="en-GB"/>
        </w:rPr>
        <w:t xml:space="preserve"> </w:t>
      </w:r>
      <w:r w:rsidR="00A06AFA" w:rsidRPr="0075315D">
        <w:rPr>
          <w:lang w:val="en-GB"/>
        </w:rPr>
        <w:t xml:space="preserve">the literature relating to </w:t>
      </w:r>
      <w:r w:rsidR="00A06AFA">
        <w:rPr>
          <w:lang w:val="en-GB"/>
        </w:rPr>
        <w:t xml:space="preserve">factors influencing </w:t>
      </w:r>
      <w:r w:rsidR="00A06AFA" w:rsidRPr="0075315D">
        <w:rPr>
          <w:lang w:val="en-GB"/>
        </w:rPr>
        <w:t>medication adhe</w:t>
      </w:r>
      <w:r w:rsidR="00A06AFA">
        <w:rPr>
          <w:lang w:val="en-GB"/>
        </w:rPr>
        <w:t>rence for people with acquired communication disorders.</w:t>
      </w:r>
      <w:r w:rsidR="002678B7">
        <w:rPr>
          <w:lang w:val="en-GB"/>
        </w:rPr>
        <w:t xml:space="preserve"> </w:t>
      </w:r>
      <w:r w:rsidR="0069433E">
        <w:rPr>
          <w:lang w:val="en-GB"/>
        </w:rPr>
        <w:t>Literature relating to factors influencing medication adherence in different populations have been</w:t>
      </w:r>
      <w:r w:rsidR="003F532D">
        <w:rPr>
          <w:lang w:val="en-GB"/>
        </w:rPr>
        <w:t xml:space="preserve"> </w:t>
      </w:r>
      <w:r w:rsidR="000A6697">
        <w:rPr>
          <w:lang w:val="en-GB"/>
        </w:rPr>
        <w:t>widely published [17</w:t>
      </w:r>
      <w:r w:rsidR="00CC6687">
        <w:rPr>
          <w:lang w:val="en-GB"/>
        </w:rPr>
        <w:t>, 18</w:t>
      </w:r>
      <w:r w:rsidR="00CA4A61">
        <w:rPr>
          <w:lang w:val="en-GB"/>
        </w:rPr>
        <w:t>] and</w:t>
      </w:r>
      <w:r w:rsidR="0073364E">
        <w:rPr>
          <w:lang w:val="en-GB"/>
        </w:rPr>
        <w:t xml:space="preserve"> are commonly broadly categorised into the </w:t>
      </w:r>
      <w:r w:rsidR="00734485">
        <w:rPr>
          <w:lang w:val="en-GB"/>
        </w:rPr>
        <w:t>five WHO dimensions of adherence [</w:t>
      </w:r>
      <w:r w:rsidR="005601EE">
        <w:rPr>
          <w:lang w:val="en-GB"/>
        </w:rPr>
        <w:t>37]</w:t>
      </w:r>
      <w:r w:rsidR="0039774A">
        <w:rPr>
          <w:lang w:val="en-GB"/>
        </w:rPr>
        <w:t xml:space="preserve">. </w:t>
      </w:r>
      <w:bookmarkStart w:id="0" w:name="_Hlk149332489"/>
      <w:r w:rsidR="0039774A">
        <w:rPr>
          <w:lang w:val="en-GB"/>
        </w:rPr>
        <w:t xml:space="preserve">The results of this review </w:t>
      </w:r>
      <w:r w:rsidR="00464CDA">
        <w:rPr>
          <w:lang w:val="en-GB"/>
        </w:rPr>
        <w:t xml:space="preserve">indicate </w:t>
      </w:r>
      <w:r w:rsidR="0039774A">
        <w:rPr>
          <w:lang w:val="en-GB"/>
        </w:rPr>
        <w:t xml:space="preserve">that </w:t>
      </w:r>
      <w:r w:rsidR="00735D55">
        <w:rPr>
          <w:lang w:val="en-GB"/>
        </w:rPr>
        <w:t xml:space="preserve">patient related factors </w:t>
      </w:r>
      <w:r w:rsidR="006F218E">
        <w:rPr>
          <w:lang w:val="en-GB"/>
        </w:rPr>
        <w:t>are most commonly associated with medication non-adherence in a population with acquired communication disorders</w:t>
      </w:r>
      <w:r w:rsidR="00C56FCA">
        <w:rPr>
          <w:lang w:val="en-GB"/>
        </w:rPr>
        <w:t xml:space="preserve"> [28,29,33]</w:t>
      </w:r>
      <w:r w:rsidR="005F7F10">
        <w:rPr>
          <w:lang w:val="en-GB"/>
        </w:rPr>
        <w:t xml:space="preserve">, followed by socio-economic </w:t>
      </w:r>
      <w:r w:rsidR="00C56FCA">
        <w:rPr>
          <w:lang w:val="en-GB"/>
        </w:rPr>
        <w:t>factors [</w:t>
      </w:r>
      <w:r w:rsidR="00102352">
        <w:rPr>
          <w:lang w:val="en-GB"/>
        </w:rPr>
        <w:t>28,29</w:t>
      </w:r>
      <w:r w:rsidR="00CA597B">
        <w:rPr>
          <w:lang w:val="en-GB"/>
        </w:rPr>
        <w:t>, 30</w:t>
      </w:r>
      <w:r w:rsidR="00102352">
        <w:rPr>
          <w:lang w:val="en-GB"/>
        </w:rPr>
        <w:t>]</w:t>
      </w:r>
      <w:r w:rsidR="00AE15B5">
        <w:rPr>
          <w:lang w:val="en-GB"/>
        </w:rPr>
        <w:t xml:space="preserve"> and medication-related factors [</w:t>
      </w:r>
      <w:r w:rsidR="00CA597B">
        <w:rPr>
          <w:lang w:val="en-GB"/>
        </w:rPr>
        <w:t>30].</w:t>
      </w:r>
      <w:bookmarkEnd w:id="0"/>
      <w:r w:rsidR="00CA597B">
        <w:rPr>
          <w:lang w:val="en-GB"/>
        </w:rPr>
        <w:t xml:space="preserve"> </w:t>
      </w:r>
      <w:r w:rsidR="00AD4E0B">
        <w:rPr>
          <w:lang w:val="en-GB"/>
        </w:rPr>
        <w:t>Th</w:t>
      </w:r>
      <w:r w:rsidR="004145A2">
        <w:rPr>
          <w:lang w:val="en-GB"/>
        </w:rPr>
        <w:t>is aligns with a previous systematic review conducted by Peh et al.,</w:t>
      </w:r>
      <w:r w:rsidR="000B5FDE">
        <w:rPr>
          <w:lang w:val="en-GB"/>
        </w:rPr>
        <w:t xml:space="preserve"> (2021)</w:t>
      </w:r>
      <w:r w:rsidR="00464CDA">
        <w:rPr>
          <w:lang w:val="en-GB"/>
        </w:rPr>
        <w:t xml:space="preserve"> </w:t>
      </w:r>
      <w:r w:rsidR="005E5DC9">
        <w:rPr>
          <w:lang w:val="en-GB"/>
        </w:rPr>
        <w:t xml:space="preserve">who designed a conceptual model for factors contributing to medication adherence </w:t>
      </w:r>
      <w:r w:rsidR="00CB1C0D">
        <w:rPr>
          <w:lang w:val="en-GB"/>
        </w:rPr>
        <w:t xml:space="preserve">based on 102 </w:t>
      </w:r>
      <w:r w:rsidR="00CC6687">
        <w:rPr>
          <w:lang w:val="en-GB"/>
        </w:rPr>
        <w:t xml:space="preserve">individual </w:t>
      </w:r>
      <w:r w:rsidR="00CB1C0D">
        <w:rPr>
          <w:lang w:val="en-GB"/>
        </w:rPr>
        <w:t>conceptual frameworks [</w:t>
      </w:r>
      <w:r w:rsidR="0068430D">
        <w:rPr>
          <w:lang w:val="en-GB"/>
        </w:rPr>
        <w:t xml:space="preserve">18]. This conceptual model </w:t>
      </w:r>
      <w:r w:rsidR="003E670F">
        <w:rPr>
          <w:lang w:val="en-GB"/>
        </w:rPr>
        <w:t xml:space="preserve">highlights patient-related factors as </w:t>
      </w:r>
      <w:r w:rsidR="001471EC">
        <w:rPr>
          <w:lang w:val="en-GB"/>
        </w:rPr>
        <w:t xml:space="preserve">the most prominent contributor to medication adherence, </w:t>
      </w:r>
      <w:r w:rsidR="00A41B4E">
        <w:rPr>
          <w:lang w:val="en-GB"/>
        </w:rPr>
        <w:t xml:space="preserve">followed closely by socio-economic factors [18]. Interestingly, this model </w:t>
      </w:r>
      <w:r w:rsidR="00472E86">
        <w:rPr>
          <w:lang w:val="en-GB"/>
        </w:rPr>
        <w:t xml:space="preserve">highlights systemic and healthcare professional-related factors </w:t>
      </w:r>
      <w:r w:rsidR="00816421">
        <w:rPr>
          <w:lang w:val="en-GB"/>
        </w:rPr>
        <w:t>as the third</w:t>
      </w:r>
      <w:r w:rsidR="00F67812">
        <w:rPr>
          <w:lang w:val="en-GB"/>
        </w:rPr>
        <w:t xml:space="preserve">-ranked </w:t>
      </w:r>
      <w:r w:rsidR="00F67812">
        <w:rPr>
          <w:lang w:val="en-GB"/>
        </w:rPr>
        <w:lastRenderedPageBreak/>
        <w:t>contributor to medication adherence</w:t>
      </w:r>
      <w:r w:rsidR="0051198F">
        <w:rPr>
          <w:lang w:val="en-GB"/>
        </w:rPr>
        <w:t xml:space="preserve">, where </w:t>
      </w:r>
      <w:r w:rsidR="00246BE2">
        <w:rPr>
          <w:lang w:val="en-GB"/>
        </w:rPr>
        <w:t xml:space="preserve">this was found to have no effect on medication adherence in </w:t>
      </w:r>
      <w:r w:rsidR="00586E26">
        <w:rPr>
          <w:lang w:val="en-GB"/>
        </w:rPr>
        <w:t xml:space="preserve">Bushnell’s </w:t>
      </w:r>
      <w:r w:rsidR="00DE3EF8">
        <w:rPr>
          <w:lang w:val="en-GB"/>
        </w:rPr>
        <w:t xml:space="preserve">2010 study of </w:t>
      </w:r>
      <w:r w:rsidR="00185D8D">
        <w:rPr>
          <w:lang w:val="en-GB"/>
        </w:rPr>
        <w:t>2598 post-stroke patients [28]</w:t>
      </w:r>
      <w:r w:rsidR="007906B9">
        <w:rPr>
          <w:lang w:val="en-GB"/>
        </w:rPr>
        <w:t xml:space="preserve">. </w:t>
      </w:r>
    </w:p>
    <w:p w14:paraId="61DAF5E2" w14:textId="50542872" w:rsidR="00114A02" w:rsidRDefault="58E36B15" w:rsidP="00114A02">
      <w:pPr>
        <w:pStyle w:val="ListParagraph"/>
        <w:rPr>
          <w:lang w:val="en-GB"/>
        </w:rPr>
      </w:pPr>
      <w:bookmarkStart w:id="1" w:name="_Hlk149332517"/>
      <w:r w:rsidRPr="141E890C">
        <w:rPr>
          <w:lang w:val="en-GB"/>
        </w:rPr>
        <w:t xml:space="preserve">Despite the </w:t>
      </w:r>
      <w:r w:rsidR="725DCC7C" w:rsidRPr="141E890C">
        <w:rPr>
          <w:lang w:val="en-GB"/>
        </w:rPr>
        <w:t xml:space="preserve">recognised importance </w:t>
      </w:r>
      <w:r w:rsidR="00813E5C">
        <w:rPr>
          <w:lang w:val="en-GB"/>
        </w:rPr>
        <w:t xml:space="preserve">of </w:t>
      </w:r>
      <w:r w:rsidR="725DCC7C" w:rsidRPr="141E890C">
        <w:rPr>
          <w:lang w:val="en-GB"/>
        </w:rPr>
        <w:t xml:space="preserve">medication </w:t>
      </w:r>
      <w:r w:rsidR="31489790" w:rsidRPr="141E890C">
        <w:rPr>
          <w:lang w:val="en-GB"/>
        </w:rPr>
        <w:t>adherence,</w:t>
      </w:r>
      <w:r w:rsidR="725DCC7C" w:rsidRPr="141E890C">
        <w:rPr>
          <w:lang w:val="en-GB"/>
        </w:rPr>
        <w:t xml:space="preserve"> no gold standard </w:t>
      </w:r>
      <w:r w:rsidR="31489790" w:rsidRPr="141E890C">
        <w:rPr>
          <w:lang w:val="en-GB"/>
        </w:rPr>
        <w:t xml:space="preserve">of assessment or intervention currently exist </w:t>
      </w:r>
      <w:bookmarkEnd w:id="1"/>
      <w:r w:rsidR="7DBA5488" w:rsidRPr="141E890C">
        <w:rPr>
          <w:lang w:val="en-GB"/>
        </w:rPr>
        <w:t xml:space="preserve">[38]. </w:t>
      </w:r>
      <w:r w:rsidR="3089A893" w:rsidRPr="141E890C">
        <w:rPr>
          <w:lang w:val="en-GB"/>
        </w:rPr>
        <w:t>The most common methods of identifying patients at risk for non</w:t>
      </w:r>
      <w:r w:rsidR="1C1130DE" w:rsidRPr="141E890C">
        <w:rPr>
          <w:lang w:val="en-GB"/>
        </w:rPr>
        <w:t>-</w:t>
      </w:r>
      <w:r w:rsidR="3089A893" w:rsidRPr="141E890C">
        <w:rPr>
          <w:lang w:val="en-GB"/>
        </w:rPr>
        <w:t xml:space="preserve">adherence are patient self-report [38], </w:t>
      </w:r>
      <w:r w:rsidR="0A5C4756" w:rsidRPr="141E890C">
        <w:rPr>
          <w:lang w:val="en-GB"/>
        </w:rPr>
        <w:t xml:space="preserve">which is reflected in the </w:t>
      </w:r>
      <w:r w:rsidR="5747BDCA" w:rsidRPr="141E890C">
        <w:rPr>
          <w:lang w:val="en-GB"/>
        </w:rPr>
        <w:t>results of this review</w:t>
      </w:r>
      <w:r w:rsidR="10D0F1D9" w:rsidRPr="141E890C">
        <w:rPr>
          <w:lang w:val="en-GB"/>
        </w:rPr>
        <w:t xml:space="preserve"> [31,32,33,28]. </w:t>
      </w:r>
      <w:r w:rsidR="0704DFA9" w:rsidRPr="141E890C">
        <w:rPr>
          <w:lang w:val="en-GB"/>
        </w:rPr>
        <w:t xml:space="preserve">However, </w:t>
      </w:r>
      <w:r w:rsidR="219C96D0" w:rsidRPr="141E890C">
        <w:rPr>
          <w:lang w:val="en-GB"/>
        </w:rPr>
        <w:t>patient self-reports</w:t>
      </w:r>
      <w:r w:rsidR="4E6FE1A9" w:rsidRPr="141E890C">
        <w:rPr>
          <w:lang w:val="en-GB"/>
        </w:rPr>
        <w:t xml:space="preserve"> are subjective measures, and</w:t>
      </w:r>
      <w:r w:rsidR="219C96D0" w:rsidRPr="141E890C">
        <w:rPr>
          <w:lang w:val="en-GB"/>
        </w:rPr>
        <w:t xml:space="preserve"> </w:t>
      </w:r>
      <w:r w:rsidR="6320BE07" w:rsidRPr="141E890C">
        <w:rPr>
          <w:lang w:val="en-GB"/>
        </w:rPr>
        <w:t>may over</w:t>
      </w:r>
      <w:r w:rsidR="004935B3">
        <w:rPr>
          <w:lang w:val="en-GB"/>
        </w:rPr>
        <w:t xml:space="preserve"> or under</w:t>
      </w:r>
      <w:r w:rsidR="6320BE07" w:rsidRPr="141E890C">
        <w:rPr>
          <w:lang w:val="en-GB"/>
        </w:rPr>
        <w:t>estimate patient adherence</w:t>
      </w:r>
      <w:r w:rsidR="4E6FE1A9" w:rsidRPr="141E890C">
        <w:rPr>
          <w:lang w:val="en-GB"/>
        </w:rPr>
        <w:t xml:space="preserve"> [38]. </w:t>
      </w:r>
      <w:r w:rsidR="009F4C43">
        <w:rPr>
          <w:lang w:val="en-GB"/>
        </w:rPr>
        <w:t>C</w:t>
      </w:r>
      <w:r w:rsidR="009F4C43" w:rsidRPr="141E890C">
        <w:rPr>
          <w:lang w:val="en-GB"/>
        </w:rPr>
        <w:t>onditions such as aphasia</w:t>
      </w:r>
      <w:r w:rsidR="00A41F73">
        <w:rPr>
          <w:lang w:val="en-GB"/>
        </w:rPr>
        <w:t xml:space="preserve"> may result in </w:t>
      </w:r>
      <w:r w:rsidR="00F11F12">
        <w:rPr>
          <w:lang w:val="en-GB"/>
        </w:rPr>
        <w:t xml:space="preserve">an impaired ability to accurately calculate or report measures, </w:t>
      </w:r>
      <w:r w:rsidR="000B5FDE">
        <w:rPr>
          <w:lang w:val="en-GB"/>
        </w:rPr>
        <w:t>while conditions such as</w:t>
      </w:r>
      <w:r w:rsidR="00F11F12">
        <w:rPr>
          <w:lang w:val="en-GB"/>
        </w:rPr>
        <w:t xml:space="preserve"> </w:t>
      </w:r>
      <w:r w:rsidR="005E64C4">
        <w:rPr>
          <w:lang w:val="en-GB"/>
        </w:rPr>
        <w:t>r</w:t>
      </w:r>
      <w:r w:rsidR="009F4C43" w:rsidRPr="141E890C">
        <w:rPr>
          <w:lang w:val="en-GB"/>
        </w:rPr>
        <w:t xml:space="preserve">ight </w:t>
      </w:r>
      <w:r w:rsidR="005E64C4">
        <w:rPr>
          <w:lang w:val="en-GB"/>
        </w:rPr>
        <w:t>h</w:t>
      </w:r>
      <w:r w:rsidR="009F4C43" w:rsidRPr="141E890C">
        <w:rPr>
          <w:lang w:val="en-GB"/>
        </w:rPr>
        <w:t xml:space="preserve">emisphere </w:t>
      </w:r>
      <w:r w:rsidR="005E64C4">
        <w:rPr>
          <w:lang w:val="en-GB"/>
        </w:rPr>
        <w:t>d</w:t>
      </w:r>
      <w:r w:rsidR="009F4C43" w:rsidRPr="141E890C">
        <w:rPr>
          <w:lang w:val="en-GB"/>
        </w:rPr>
        <w:t>isorde</w:t>
      </w:r>
      <w:r w:rsidR="000B5FDE">
        <w:rPr>
          <w:lang w:val="en-GB"/>
        </w:rPr>
        <w:t>r</w:t>
      </w:r>
      <w:r w:rsidR="009F4C43" w:rsidRPr="141E890C">
        <w:rPr>
          <w:lang w:val="en-GB"/>
        </w:rPr>
        <w:t xml:space="preserve"> </w:t>
      </w:r>
      <w:r w:rsidR="00163822">
        <w:rPr>
          <w:lang w:val="en-GB"/>
        </w:rPr>
        <w:t>and dementia</w:t>
      </w:r>
      <w:r w:rsidR="009F4C43" w:rsidRPr="141E890C">
        <w:rPr>
          <w:lang w:val="en-GB"/>
        </w:rPr>
        <w:t xml:space="preserve"> may cause impaired self-awareness</w:t>
      </w:r>
      <w:r w:rsidR="00E239D8">
        <w:rPr>
          <w:lang w:val="en-GB"/>
        </w:rPr>
        <w:t xml:space="preserve">, </w:t>
      </w:r>
      <w:r w:rsidR="009F4C43" w:rsidRPr="141E890C">
        <w:rPr>
          <w:lang w:val="en-GB"/>
        </w:rPr>
        <w:t xml:space="preserve">insight, </w:t>
      </w:r>
      <w:r w:rsidR="00E239D8">
        <w:rPr>
          <w:lang w:val="en-GB"/>
        </w:rPr>
        <w:t>and memory impairment</w:t>
      </w:r>
      <w:r w:rsidR="000B5FDE">
        <w:rPr>
          <w:lang w:val="en-GB"/>
        </w:rPr>
        <w:t>, which may contribute to</w:t>
      </w:r>
      <w:r w:rsidR="00E239D8">
        <w:rPr>
          <w:lang w:val="en-GB"/>
        </w:rPr>
        <w:t xml:space="preserve"> </w:t>
      </w:r>
      <w:r w:rsidR="009F4C43" w:rsidRPr="141E890C">
        <w:rPr>
          <w:lang w:val="en-GB"/>
        </w:rPr>
        <w:t xml:space="preserve">inaccurate </w:t>
      </w:r>
      <w:r w:rsidR="000B5FDE">
        <w:rPr>
          <w:lang w:val="en-GB"/>
        </w:rPr>
        <w:t xml:space="preserve">reporting of </w:t>
      </w:r>
      <w:r w:rsidR="009F4C43" w:rsidRPr="141E890C">
        <w:rPr>
          <w:lang w:val="en-GB"/>
        </w:rPr>
        <w:t>results [29, 33]</w:t>
      </w:r>
      <w:r w:rsidR="00DC3FDF">
        <w:rPr>
          <w:lang w:val="en-GB"/>
        </w:rPr>
        <w:t xml:space="preserve">. </w:t>
      </w:r>
      <w:r w:rsidR="00576D1E">
        <w:rPr>
          <w:lang w:val="en-GB"/>
        </w:rPr>
        <w:t>Therefore,</w:t>
      </w:r>
      <w:r w:rsidR="009F4C43">
        <w:rPr>
          <w:lang w:val="en-GB"/>
        </w:rPr>
        <w:t xml:space="preserve"> h</w:t>
      </w:r>
      <w:r w:rsidR="4E6FE1A9" w:rsidRPr="141E890C">
        <w:rPr>
          <w:lang w:val="en-GB"/>
        </w:rPr>
        <w:t xml:space="preserve">ealthcare professionals and researchers must be particularly aware of the subjective nature of patient self-reporting when </w:t>
      </w:r>
      <w:r w:rsidR="59AD5FC1" w:rsidRPr="141E890C">
        <w:rPr>
          <w:lang w:val="en-GB"/>
        </w:rPr>
        <w:t xml:space="preserve">interacting with </w:t>
      </w:r>
      <w:r w:rsidR="00A274D2">
        <w:rPr>
          <w:lang w:val="en-GB"/>
        </w:rPr>
        <w:t>people</w:t>
      </w:r>
      <w:r w:rsidR="59AD5FC1" w:rsidRPr="141E890C">
        <w:rPr>
          <w:lang w:val="en-GB"/>
        </w:rPr>
        <w:t xml:space="preserve"> with acquired communication disorders</w:t>
      </w:r>
      <w:r w:rsidR="007F15CD">
        <w:rPr>
          <w:lang w:val="en-GB"/>
        </w:rPr>
        <w:t>.</w:t>
      </w:r>
      <w:r w:rsidR="088E8100" w:rsidRPr="141E890C">
        <w:rPr>
          <w:lang w:val="en-GB"/>
        </w:rPr>
        <w:t xml:space="preserve"> </w:t>
      </w:r>
      <w:r w:rsidR="2EDA0AA4" w:rsidRPr="141E890C">
        <w:rPr>
          <w:lang w:val="en-GB"/>
        </w:rPr>
        <w:t>Sumbul-Sekerci</w:t>
      </w:r>
      <w:r w:rsidR="4A36F411" w:rsidRPr="141E890C">
        <w:rPr>
          <w:lang w:val="en-GB"/>
        </w:rPr>
        <w:t xml:space="preserve"> and colleagues </w:t>
      </w:r>
      <w:r w:rsidR="00B42604">
        <w:rPr>
          <w:lang w:val="en-GB"/>
        </w:rPr>
        <w:t xml:space="preserve">(2021) </w:t>
      </w:r>
      <w:r w:rsidR="3A29166E" w:rsidRPr="141E890C">
        <w:rPr>
          <w:lang w:val="en-GB"/>
        </w:rPr>
        <w:t xml:space="preserve">found no difference in adherence based on </w:t>
      </w:r>
      <w:r w:rsidR="158ED1D4" w:rsidRPr="141E890C">
        <w:rPr>
          <w:lang w:val="en-GB"/>
        </w:rPr>
        <w:t>self-report</w:t>
      </w:r>
      <w:r w:rsidR="340E358B" w:rsidRPr="141E890C">
        <w:rPr>
          <w:lang w:val="en-GB"/>
        </w:rPr>
        <w:t xml:space="preserve"> </w:t>
      </w:r>
      <w:r w:rsidR="158ED1D4" w:rsidRPr="141E890C">
        <w:rPr>
          <w:lang w:val="en-GB"/>
        </w:rPr>
        <w:t xml:space="preserve">in a cohort of </w:t>
      </w:r>
      <w:r w:rsidR="340E358B" w:rsidRPr="141E890C">
        <w:rPr>
          <w:lang w:val="en-GB"/>
        </w:rPr>
        <w:t>Parkinson’s Disease</w:t>
      </w:r>
      <w:r w:rsidR="158ED1D4" w:rsidRPr="141E890C">
        <w:rPr>
          <w:lang w:val="en-GB"/>
        </w:rPr>
        <w:t xml:space="preserve"> patients with and without cognitive impairment, despite </w:t>
      </w:r>
      <w:r w:rsidR="710F35BA" w:rsidRPr="141E890C">
        <w:rPr>
          <w:lang w:val="en-GB"/>
        </w:rPr>
        <w:t xml:space="preserve">findings from previous studies </w:t>
      </w:r>
      <w:r w:rsidR="5436DD32" w:rsidRPr="141E890C">
        <w:rPr>
          <w:lang w:val="en-GB"/>
        </w:rPr>
        <w:t xml:space="preserve">[33]. </w:t>
      </w:r>
      <w:r w:rsidR="0F06BCBB" w:rsidRPr="141E890C">
        <w:rPr>
          <w:lang w:val="en-GB"/>
        </w:rPr>
        <w:t>We can hypothesise that</w:t>
      </w:r>
      <w:r w:rsidR="64DE94DD" w:rsidRPr="141E890C">
        <w:rPr>
          <w:lang w:val="en-GB"/>
        </w:rPr>
        <w:t xml:space="preserve"> inaccurate self-evaluation in reports of medication adherence may have contributed to this</w:t>
      </w:r>
      <w:r w:rsidR="2884AD31" w:rsidRPr="141E890C">
        <w:rPr>
          <w:lang w:val="en-GB"/>
        </w:rPr>
        <w:t xml:space="preserve"> [33]. </w:t>
      </w:r>
    </w:p>
    <w:p w14:paraId="1B400F06" w14:textId="47A08BEF" w:rsidR="00AE36EF" w:rsidRPr="00404D63" w:rsidRDefault="2EC0C1E8" w:rsidP="00404D63">
      <w:pPr>
        <w:pStyle w:val="ListParagraph"/>
        <w:rPr>
          <w:lang w:val="en-GB"/>
        </w:rPr>
      </w:pPr>
      <w:r w:rsidRPr="141E890C">
        <w:rPr>
          <w:lang w:val="en-GB"/>
        </w:rPr>
        <w:t xml:space="preserve">In order for treatment to be effective, it must be tailored </w:t>
      </w:r>
      <w:r w:rsidR="228CF77C" w:rsidRPr="141E890C">
        <w:rPr>
          <w:lang w:val="en-GB"/>
        </w:rPr>
        <w:t>to the individual needs of the patient [</w:t>
      </w:r>
      <w:r w:rsidR="1D1FD675" w:rsidRPr="141E890C">
        <w:rPr>
          <w:lang w:val="en-GB"/>
        </w:rPr>
        <w:t>39].</w:t>
      </w:r>
      <w:r w:rsidR="66FE0ECC" w:rsidRPr="141E890C">
        <w:rPr>
          <w:lang w:val="en-GB"/>
        </w:rPr>
        <w:t xml:space="preserve"> Three rece</w:t>
      </w:r>
      <w:r w:rsidR="11BE6CAA" w:rsidRPr="141E890C">
        <w:rPr>
          <w:lang w:val="en-GB"/>
        </w:rPr>
        <w:t xml:space="preserve">nt systematic reviews found electronic reminders to </w:t>
      </w:r>
      <w:r w:rsidR="7C11AF03" w:rsidRPr="141E890C">
        <w:rPr>
          <w:lang w:val="en-GB"/>
        </w:rPr>
        <w:t>have positive effects on medication adherence for patients with chronic disease</w:t>
      </w:r>
      <w:r w:rsidR="367DF9B2" w:rsidRPr="141E890C">
        <w:rPr>
          <w:lang w:val="en-GB"/>
        </w:rPr>
        <w:t xml:space="preserve"> </w:t>
      </w:r>
      <w:r w:rsidR="00ACCA8D" w:rsidRPr="141E890C">
        <w:rPr>
          <w:lang w:val="en-GB"/>
        </w:rPr>
        <w:t>[</w:t>
      </w:r>
      <w:r w:rsidR="00414896">
        <w:rPr>
          <w:lang w:val="en-GB"/>
        </w:rPr>
        <w:t>45, 46, 47</w:t>
      </w:r>
      <w:r w:rsidR="00ACCA8D" w:rsidRPr="141E890C">
        <w:rPr>
          <w:lang w:val="en-GB"/>
        </w:rPr>
        <w:t>]</w:t>
      </w:r>
      <w:r w:rsidR="06462891" w:rsidRPr="141E890C">
        <w:rPr>
          <w:lang w:val="en-GB"/>
        </w:rPr>
        <w:t>. However,</w:t>
      </w:r>
      <w:r w:rsidR="52269BDF" w:rsidRPr="141E890C">
        <w:rPr>
          <w:lang w:val="en-GB"/>
        </w:rPr>
        <w:t xml:space="preserve"> these have </w:t>
      </w:r>
      <w:r w:rsidR="69B0E621" w:rsidRPr="141E890C">
        <w:rPr>
          <w:lang w:val="en-GB"/>
        </w:rPr>
        <w:t xml:space="preserve">often </w:t>
      </w:r>
      <w:r w:rsidR="52269BDF" w:rsidRPr="141E890C">
        <w:rPr>
          <w:lang w:val="en-GB"/>
        </w:rPr>
        <w:t xml:space="preserve">not been specifically designed with </w:t>
      </w:r>
      <w:r w:rsidR="69B0E621" w:rsidRPr="141E890C">
        <w:rPr>
          <w:lang w:val="en-GB"/>
        </w:rPr>
        <w:t>communication impairments in mind an</w:t>
      </w:r>
      <w:r w:rsidR="260391C1" w:rsidRPr="141E890C">
        <w:rPr>
          <w:lang w:val="en-GB"/>
        </w:rPr>
        <w:t>d</w:t>
      </w:r>
      <w:r w:rsidR="69B0E621" w:rsidRPr="141E890C">
        <w:rPr>
          <w:lang w:val="en-GB"/>
        </w:rPr>
        <w:t xml:space="preserve"> may not prove as effective </w:t>
      </w:r>
      <w:r w:rsidR="113597FA" w:rsidRPr="141E890C">
        <w:rPr>
          <w:lang w:val="en-GB"/>
        </w:rPr>
        <w:t>with this population [40]</w:t>
      </w:r>
      <w:r w:rsidR="78C6058E" w:rsidRPr="141E890C">
        <w:rPr>
          <w:lang w:val="en-GB"/>
        </w:rPr>
        <w:t xml:space="preserve">. </w:t>
      </w:r>
      <w:r w:rsidR="495C1B37" w:rsidRPr="141E890C">
        <w:rPr>
          <w:lang w:val="en-GB"/>
        </w:rPr>
        <w:t xml:space="preserve">Patient education has been proven to be effective in </w:t>
      </w:r>
      <w:r w:rsidR="3FC7E4D3" w:rsidRPr="141E890C">
        <w:rPr>
          <w:lang w:val="en-GB"/>
        </w:rPr>
        <w:t>improving medication adherence, though has been found to be less effective when</w:t>
      </w:r>
      <w:r w:rsidR="7FD83CE5" w:rsidRPr="141E890C">
        <w:rPr>
          <w:lang w:val="en-GB"/>
        </w:rPr>
        <w:t xml:space="preserve"> used in isolation than when combined with other forms of intervention [39]. </w:t>
      </w:r>
      <w:r w:rsidR="59077A82" w:rsidRPr="141E890C">
        <w:rPr>
          <w:lang w:val="en-GB"/>
        </w:rPr>
        <w:t>A</w:t>
      </w:r>
      <w:r w:rsidR="659A2737" w:rsidRPr="141E890C">
        <w:rPr>
          <w:lang w:val="en-GB"/>
        </w:rPr>
        <w:t xml:space="preserve"> </w:t>
      </w:r>
      <w:r w:rsidR="2789E81F" w:rsidRPr="141E890C">
        <w:rPr>
          <w:lang w:val="en-GB"/>
        </w:rPr>
        <w:t xml:space="preserve">multicomponent intervention encompassing </w:t>
      </w:r>
      <w:r w:rsidR="00000DA7">
        <w:rPr>
          <w:lang w:val="en-GB"/>
        </w:rPr>
        <w:t xml:space="preserve">communicatively </w:t>
      </w:r>
      <w:r w:rsidR="00F7506A">
        <w:rPr>
          <w:lang w:val="en-GB"/>
        </w:rPr>
        <w:t xml:space="preserve">tailored </w:t>
      </w:r>
      <w:r w:rsidR="4432B7AF" w:rsidRPr="141E890C">
        <w:rPr>
          <w:lang w:val="en-GB"/>
        </w:rPr>
        <w:t xml:space="preserve">patient education and electronic reminder systems may be most effective in </w:t>
      </w:r>
      <w:r w:rsidR="3A459016" w:rsidRPr="141E890C">
        <w:rPr>
          <w:lang w:val="en-GB"/>
        </w:rPr>
        <w:t>targeting medication non-adherence for people with acquired communication disorders</w:t>
      </w:r>
      <w:r w:rsidR="652BBFC8" w:rsidRPr="141E890C">
        <w:rPr>
          <w:lang w:val="en-GB"/>
        </w:rPr>
        <w:t>.</w:t>
      </w:r>
      <w:r w:rsidR="5F188AB6" w:rsidRPr="141E890C">
        <w:rPr>
          <w:lang w:val="en-GB"/>
        </w:rPr>
        <w:t xml:space="preserve"> </w:t>
      </w:r>
    </w:p>
    <w:p w14:paraId="59ED0084" w14:textId="705BE37A" w:rsidR="00660C6D" w:rsidRPr="00777A77" w:rsidRDefault="6204F283" w:rsidP="00777A77">
      <w:pPr>
        <w:pStyle w:val="ListParagraph"/>
        <w:rPr>
          <w:lang w:val="en-GB"/>
        </w:rPr>
      </w:pPr>
      <w:r w:rsidRPr="141E890C">
        <w:rPr>
          <w:lang w:val="en-GB"/>
        </w:rPr>
        <w:t xml:space="preserve">Another contributing factor </w:t>
      </w:r>
      <w:r w:rsidR="04FE8E00" w:rsidRPr="141E890C">
        <w:rPr>
          <w:lang w:val="en-GB"/>
        </w:rPr>
        <w:t>to the absence of</w:t>
      </w:r>
      <w:r w:rsidR="007605EA">
        <w:rPr>
          <w:lang w:val="en-GB"/>
        </w:rPr>
        <w:t xml:space="preserve"> </w:t>
      </w:r>
      <w:r w:rsidR="007605EA" w:rsidRPr="141E890C">
        <w:rPr>
          <w:lang w:val="en-GB"/>
        </w:rPr>
        <w:t>assessments</w:t>
      </w:r>
      <w:r w:rsidR="007605EA">
        <w:rPr>
          <w:lang w:val="en-GB"/>
        </w:rPr>
        <w:t>,</w:t>
      </w:r>
      <w:r w:rsidR="04FE8E00" w:rsidRPr="141E890C">
        <w:rPr>
          <w:lang w:val="en-GB"/>
        </w:rPr>
        <w:t xml:space="preserve"> “gold standard” interventions, </w:t>
      </w:r>
      <w:r w:rsidR="5D8CC9DF" w:rsidRPr="141E890C">
        <w:rPr>
          <w:lang w:val="en-GB"/>
        </w:rPr>
        <w:t xml:space="preserve">and </w:t>
      </w:r>
      <w:r w:rsidR="00414896">
        <w:rPr>
          <w:lang w:val="en-GB"/>
        </w:rPr>
        <w:t xml:space="preserve">consistent reporting of </w:t>
      </w:r>
      <w:r w:rsidR="5D8CC9DF" w:rsidRPr="141E890C">
        <w:rPr>
          <w:lang w:val="en-GB"/>
        </w:rPr>
        <w:t xml:space="preserve">factors influencing medication adherence for people with acquired communication disorders is the heterogeneity within and </w:t>
      </w:r>
      <w:r w:rsidR="2A9F81F6" w:rsidRPr="141E890C">
        <w:rPr>
          <w:lang w:val="en-GB"/>
        </w:rPr>
        <w:t xml:space="preserve">between groups. The term “acquired communication disorder” </w:t>
      </w:r>
      <w:bookmarkStart w:id="2" w:name="_Hlk149332876"/>
      <w:r w:rsidR="2A9F81F6" w:rsidRPr="141E890C">
        <w:rPr>
          <w:lang w:val="en-GB"/>
        </w:rPr>
        <w:t xml:space="preserve">encompasses a range of conditions with </w:t>
      </w:r>
      <w:r w:rsidR="19AEAD72" w:rsidRPr="141E890C">
        <w:rPr>
          <w:lang w:val="en-GB"/>
        </w:rPr>
        <w:t xml:space="preserve">diverse </w:t>
      </w:r>
      <w:r w:rsidR="2DD0E25B" w:rsidRPr="141E890C">
        <w:rPr>
          <w:lang w:val="en-GB"/>
        </w:rPr>
        <w:t>aetiologies, presentations</w:t>
      </w:r>
      <w:r w:rsidR="087BC645" w:rsidRPr="141E890C">
        <w:rPr>
          <w:lang w:val="en-GB"/>
        </w:rPr>
        <w:t>, and needs</w:t>
      </w:r>
      <w:bookmarkEnd w:id="2"/>
      <w:r w:rsidR="087BC645" w:rsidRPr="141E890C">
        <w:rPr>
          <w:lang w:val="en-GB"/>
        </w:rPr>
        <w:t xml:space="preserve">. </w:t>
      </w:r>
      <w:r w:rsidR="75C23B90" w:rsidRPr="141E890C">
        <w:rPr>
          <w:lang w:val="en-GB"/>
        </w:rPr>
        <w:t>Future research should aim to investigate</w:t>
      </w:r>
      <w:r w:rsidR="2ACD154C" w:rsidRPr="141E890C">
        <w:rPr>
          <w:lang w:val="en-GB"/>
        </w:rPr>
        <w:t xml:space="preserve"> specific</w:t>
      </w:r>
      <w:r w:rsidR="0DB731C1" w:rsidRPr="141E890C">
        <w:rPr>
          <w:lang w:val="en-GB"/>
        </w:rPr>
        <w:t xml:space="preserve"> link</w:t>
      </w:r>
      <w:r w:rsidR="2ACD154C" w:rsidRPr="141E890C">
        <w:rPr>
          <w:lang w:val="en-GB"/>
        </w:rPr>
        <w:t>s</w:t>
      </w:r>
      <w:r w:rsidR="0DB731C1" w:rsidRPr="141E890C">
        <w:rPr>
          <w:lang w:val="en-GB"/>
        </w:rPr>
        <w:t xml:space="preserve"> between medication adherence and </w:t>
      </w:r>
      <w:r w:rsidR="0C45FC42" w:rsidRPr="141E890C">
        <w:rPr>
          <w:lang w:val="en-GB"/>
        </w:rPr>
        <w:t xml:space="preserve">the most common </w:t>
      </w:r>
      <w:r w:rsidR="2CBE5AB5" w:rsidRPr="141E890C">
        <w:rPr>
          <w:lang w:val="en-GB"/>
        </w:rPr>
        <w:t xml:space="preserve">acquired </w:t>
      </w:r>
      <w:r w:rsidR="0C45FC42" w:rsidRPr="141E890C">
        <w:rPr>
          <w:lang w:val="en-GB"/>
        </w:rPr>
        <w:t>communication disorders</w:t>
      </w:r>
      <w:r w:rsidR="3C43B5D0" w:rsidRPr="141E890C">
        <w:rPr>
          <w:lang w:val="en-GB"/>
        </w:rPr>
        <w:t>. In particular</w:t>
      </w:r>
      <w:r w:rsidR="0933AD3A" w:rsidRPr="141E890C">
        <w:rPr>
          <w:lang w:val="en-GB"/>
        </w:rPr>
        <w:t>,</w:t>
      </w:r>
      <w:r w:rsidR="3C43B5D0" w:rsidRPr="141E890C">
        <w:rPr>
          <w:lang w:val="en-GB"/>
        </w:rPr>
        <w:t xml:space="preserve"> </w:t>
      </w:r>
      <w:bookmarkStart w:id="3" w:name="_Hlk149333116"/>
      <w:r w:rsidR="3C43B5D0" w:rsidRPr="141E890C">
        <w:rPr>
          <w:lang w:val="en-GB"/>
        </w:rPr>
        <w:t xml:space="preserve">disorders such as aphasia, </w:t>
      </w:r>
      <w:r w:rsidR="00CD37DE">
        <w:rPr>
          <w:lang w:val="en-GB"/>
        </w:rPr>
        <w:t xml:space="preserve">right hemisphere and </w:t>
      </w:r>
      <w:r w:rsidR="0933AD3A" w:rsidRPr="141E890C">
        <w:rPr>
          <w:lang w:val="en-GB"/>
        </w:rPr>
        <w:t xml:space="preserve">cognitive-communication </w:t>
      </w:r>
      <w:r w:rsidR="00BD33DC">
        <w:rPr>
          <w:lang w:val="en-GB"/>
        </w:rPr>
        <w:t>impairment</w:t>
      </w:r>
      <w:r w:rsidR="00CD37DE">
        <w:rPr>
          <w:lang w:val="en-GB"/>
        </w:rPr>
        <w:t>s</w:t>
      </w:r>
      <w:bookmarkEnd w:id="3"/>
      <w:r w:rsidR="3A7F7453" w:rsidRPr="141E890C">
        <w:rPr>
          <w:lang w:val="en-GB"/>
        </w:rPr>
        <w:t xml:space="preserve"> may have the most profound impact on medication adherence</w:t>
      </w:r>
      <w:r w:rsidR="00163822">
        <w:rPr>
          <w:lang w:val="en-GB"/>
        </w:rPr>
        <w:t>,</w:t>
      </w:r>
      <w:r w:rsidR="3A7F7453" w:rsidRPr="141E890C">
        <w:rPr>
          <w:lang w:val="en-GB"/>
        </w:rPr>
        <w:t xml:space="preserve"> </w:t>
      </w:r>
      <w:r w:rsidR="79247E0D" w:rsidRPr="141E890C">
        <w:rPr>
          <w:lang w:val="en-GB"/>
        </w:rPr>
        <w:t xml:space="preserve">and </w:t>
      </w:r>
      <w:r w:rsidR="00A13EFC">
        <w:rPr>
          <w:lang w:val="en-GB"/>
        </w:rPr>
        <w:t xml:space="preserve">assessment, measurement and </w:t>
      </w:r>
      <w:r w:rsidR="79247E0D" w:rsidRPr="141E890C">
        <w:rPr>
          <w:lang w:val="en-GB"/>
        </w:rPr>
        <w:t>interventions should be specifically tailored to each of these patient groups.</w:t>
      </w:r>
      <w:r w:rsidR="6613BC9A" w:rsidRPr="141E890C">
        <w:rPr>
          <w:lang w:val="en-GB"/>
        </w:rPr>
        <w:t xml:space="preserve"> Current research methodologies used in this field are</w:t>
      </w:r>
      <w:r w:rsidR="486C55AA" w:rsidRPr="141E890C">
        <w:rPr>
          <w:lang w:val="en-GB"/>
        </w:rPr>
        <w:t xml:space="preserve"> </w:t>
      </w:r>
      <w:r w:rsidR="55A502C3" w:rsidRPr="141E890C">
        <w:rPr>
          <w:lang w:val="en-GB"/>
        </w:rPr>
        <w:t>not as rigorous as they could be</w:t>
      </w:r>
      <w:r w:rsidR="2CB725C7" w:rsidRPr="141E890C">
        <w:rPr>
          <w:lang w:val="en-GB"/>
        </w:rPr>
        <w:t xml:space="preserve">, with only one of eight </w:t>
      </w:r>
      <w:r w:rsidR="32EEFE85" w:rsidRPr="141E890C">
        <w:rPr>
          <w:lang w:val="en-GB"/>
        </w:rPr>
        <w:t xml:space="preserve">studies </w:t>
      </w:r>
      <w:r w:rsidR="2CB725C7" w:rsidRPr="141E890C">
        <w:rPr>
          <w:lang w:val="en-GB"/>
        </w:rPr>
        <w:t xml:space="preserve">conducted in line with Randomised Control Trial protocol. </w:t>
      </w:r>
      <w:r w:rsidR="00B6678A">
        <w:rPr>
          <w:lang w:val="en-GB"/>
        </w:rPr>
        <w:t>The majority of the research included in this review is quantitative in nature, which provides useful objective data.</w:t>
      </w:r>
      <w:r w:rsidR="00F7506A">
        <w:rPr>
          <w:lang w:val="en-GB"/>
        </w:rPr>
        <w:t xml:space="preserve"> </w:t>
      </w:r>
      <w:r w:rsidR="00B6678A">
        <w:rPr>
          <w:lang w:val="en-GB"/>
        </w:rPr>
        <w:t xml:space="preserve">However, an </w:t>
      </w:r>
      <w:r w:rsidR="00F7506A">
        <w:rPr>
          <w:lang w:val="en-GB"/>
        </w:rPr>
        <w:t xml:space="preserve">increase in qualitative investigations </w:t>
      </w:r>
      <w:r w:rsidR="00B6678A">
        <w:rPr>
          <w:lang w:val="en-GB"/>
        </w:rPr>
        <w:t xml:space="preserve">in this field will provide </w:t>
      </w:r>
      <w:r w:rsidR="007F51F1">
        <w:rPr>
          <w:lang w:val="en-GB"/>
        </w:rPr>
        <w:t xml:space="preserve">further </w:t>
      </w:r>
      <w:r w:rsidR="00B6678A">
        <w:rPr>
          <w:lang w:val="en-GB"/>
        </w:rPr>
        <w:t>insight</w:t>
      </w:r>
      <w:r w:rsidR="00576D1E">
        <w:rPr>
          <w:lang w:val="en-GB"/>
        </w:rPr>
        <w:t>s</w:t>
      </w:r>
      <w:r w:rsidR="00B6678A">
        <w:rPr>
          <w:lang w:val="en-GB"/>
        </w:rPr>
        <w:t xml:space="preserve"> into patient and caregiver experiences and allow for a deeper understanding of medication-taking behaviours [43]. </w:t>
      </w:r>
      <w:r w:rsidR="27FE2FE8" w:rsidRPr="141E890C">
        <w:rPr>
          <w:lang w:val="en-GB"/>
        </w:rPr>
        <w:t>Finally, f</w:t>
      </w:r>
      <w:r w:rsidR="7CC2528B" w:rsidRPr="141E890C">
        <w:rPr>
          <w:lang w:val="en-GB"/>
        </w:rPr>
        <w:t xml:space="preserve">uture research should have the primary aim of </w:t>
      </w:r>
      <w:r w:rsidR="6BA20337" w:rsidRPr="141E890C">
        <w:rPr>
          <w:lang w:val="en-GB"/>
        </w:rPr>
        <w:t>recognising</w:t>
      </w:r>
      <w:r w:rsidR="7CC2528B" w:rsidRPr="141E890C">
        <w:rPr>
          <w:lang w:val="en-GB"/>
        </w:rPr>
        <w:t xml:space="preserve"> </w:t>
      </w:r>
      <w:r w:rsidR="6BA20337" w:rsidRPr="141E890C">
        <w:rPr>
          <w:lang w:val="en-GB"/>
        </w:rPr>
        <w:t xml:space="preserve">patients with acquired communication disorders as experts in their own </w:t>
      </w:r>
      <w:r w:rsidR="6BA20337" w:rsidRPr="00777A77">
        <w:rPr>
          <w:lang w:val="en-GB"/>
        </w:rPr>
        <w:t>needs.</w:t>
      </w:r>
      <w:r w:rsidR="00DC3FDF" w:rsidRPr="00777A77">
        <w:rPr>
          <w:lang w:val="en-GB"/>
        </w:rPr>
        <w:t xml:space="preserve"> Despite patient self-reports not being a reliable source of objective, quantitative data for this cohort, these may </w:t>
      </w:r>
      <w:r w:rsidR="00224677" w:rsidRPr="00777A77">
        <w:rPr>
          <w:lang w:val="en-GB"/>
        </w:rPr>
        <w:t>be beneficial in gaining</w:t>
      </w:r>
      <w:r w:rsidR="00DC3FDF" w:rsidRPr="00777A77">
        <w:rPr>
          <w:lang w:val="en-GB"/>
        </w:rPr>
        <w:t xml:space="preserve"> insight into the lived experience of the patient. </w:t>
      </w:r>
      <w:bookmarkStart w:id="4" w:name="_Hlk149333173"/>
      <w:r w:rsidR="0B8EC26D" w:rsidRPr="00777A77">
        <w:rPr>
          <w:lang w:val="en-GB"/>
        </w:rPr>
        <w:t xml:space="preserve">While caregiver opinions and insights are valuable resources, </w:t>
      </w:r>
      <w:r w:rsidR="00BB5C33" w:rsidRPr="00777A77">
        <w:rPr>
          <w:lang w:val="en-GB"/>
        </w:rPr>
        <w:t>particularly as many of them support or fully manage medication for the patients,</w:t>
      </w:r>
      <w:r w:rsidR="0B8EC26D" w:rsidRPr="00777A77">
        <w:rPr>
          <w:lang w:val="en-GB"/>
        </w:rPr>
        <w:t xml:space="preserve"> half of the studies included in this systematic review </w:t>
      </w:r>
      <w:r w:rsidR="55D880A5" w:rsidRPr="00777A77">
        <w:rPr>
          <w:lang w:val="en-GB"/>
        </w:rPr>
        <w:t xml:space="preserve">replaced patients with communication difficulties </w:t>
      </w:r>
      <w:r w:rsidR="55D880A5" w:rsidRPr="00777A77">
        <w:rPr>
          <w:lang w:val="en-GB"/>
        </w:rPr>
        <w:lastRenderedPageBreak/>
        <w:t xml:space="preserve">with caregiver </w:t>
      </w:r>
      <w:r w:rsidR="2A2BF848" w:rsidRPr="00777A77">
        <w:rPr>
          <w:lang w:val="en-GB"/>
        </w:rPr>
        <w:t>proxies</w:t>
      </w:r>
      <w:r w:rsidR="142E346D" w:rsidRPr="00777A77">
        <w:rPr>
          <w:lang w:val="en-GB"/>
        </w:rPr>
        <w:t xml:space="preserve"> [28, 30, 31, 32]</w:t>
      </w:r>
      <w:r w:rsidR="2A2BF848" w:rsidRPr="00777A77">
        <w:rPr>
          <w:lang w:val="en-GB"/>
        </w:rPr>
        <w:t xml:space="preserve">, thus reducing opportunities for patients to participate meaningfully in </w:t>
      </w:r>
      <w:r w:rsidR="5A7E2650" w:rsidRPr="00777A77">
        <w:rPr>
          <w:lang w:val="en-GB"/>
        </w:rPr>
        <w:t>research</w:t>
      </w:r>
      <w:r w:rsidR="142E346D" w:rsidRPr="00777A77">
        <w:rPr>
          <w:lang w:val="en-GB"/>
        </w:rPr>
        <w:t>.</w:t>
      </w:r>
      <w:r w:rsidR="00885AFE" w:rsidRPr="00777A77">
        <w:rPr>
          <w:lang w:val="en-GB"/>
        </w:rPr>
        <w:t xml:space="preserve"> </w:t>
      </w:r>
      <w:bookmarkEnd w:id="4"/>
      <w:r w:rsidR="003D46DC" w:rsidRPr="00777A77">
        <w:rPr>
          <w:lang w:val="en-GB"/>
        </w:rPr>
        <w:t xml:space="preserve">In addition, </w:t>
      </w:r>
      <w:bookmarkStart w:id="5" w:name="_Hlk149333261"/>
      <w:r w:rsidR="003D46DC" w:rsidRPr="00777A77">
        <w:rPr>
          <w:lang w:val="en-GB"/>
        </w:rPr>
        <w:t>e</w:t>
      </w:r>
      <w:r w:rsidR="00885AFE" w:rsidRPr="00777A77">
        <w:rPr>
          <w:lang w:val="en-GB"/>
        </w:rPr>
        <w:t xml:space="preserve">ncouraging </w:t>
      </w:r>
      <w:r w:rsidR="009F7BA3">
        <w:rPr>
          <w:lang w:val="en-GB"/>
        </w:rPr>
        <w:t xml:space="preserve">and empowering </w:t>
      </w:r>
      <w:r w:rsidR="00885AFE" w:rsidRPr="00777A77">
        <w:rPr>
          <w:lang w:val="en-GB"/>
        </w:rPr>
        <w:t xml:space="preserve">the patient to accept accountability for the management of their condition can lead to better health outcomes and lower health-related costs </w:t>
      </w:r>
      <w:bookmarkEnd w:id="5"/>
      <w:r w:rsidR="00885AFE" w:rsidRPr="00777A77">
        <w:rPr>
          <w:lang w:val="en-GB"/>
        </w:rPr>
        <w:t xml:space="preserve">[44]. </w:t>
      </w:r>
    </w:p>
    <w:p w14:paraId="535FF6F7" w14:textId="1A9E3F9E" w:rsidR="00FC6914" w:rsidRPr="00D92959" w:rsidRDefault="00FC6914" w:rsidP="00D92959">
      <w:pPr>
        <w:rPr>
          <w:lang w:val="en-GB"/>
        </w:rPr>
      </w:pPr>
    </w:p>
    <w:p w14:paraId="77C06E1F" w14:textId="7BF22F6A" w:rsidR="00D6317F" w:rsidRDefault="00D6317F">
      <w:pPr>
        <w:pStyle w:val="ListParagraph"/>
        <w:numPr>
          <w:ilvl w:val="1"/>
          <w:numId w:val="2"/>
        </w:numPr>
        <w:rPr>
          <w:b/>
          <w:bCs/>
          <w:lang w:val="en-GB"/>
        </w:rPr>
      </w:pPr>
      <w:r>
        <w:rPr>
          <w:b/>
          <w:bCs/>
          <w:lang w:val="en-GB"/>
        </w:rPr>
        <w:t>Strengths</w:t>
      </w:r>
    </w:p>
    <w:p w14:paraId="39759EE4" w14:textId="01D3F881" w:rsidR="000A002D" w:rsidRDefault="000A002D" w:rsidP="000A002D">
      <w:pPr>
        <w:pStyle w:val="ListParagraph"/>
        <w:rPr>
          <w:lang w:val="en-GB"/>
        </w:rPr>
      </w:pPr>
      <w:r w:rsidRPr="000A002D">
        <w:rPr>
          <w:lang w:val="en-GB"/>
        </w:rPr>
        <w:t>An intensive and thorough search of selected databases was carried out to identify studies relevant to our research question. Speech and Language Therapy specific databases SpeechBITE and NeuroBITE were included to increase the likelihood of identifying papers specific to people with acquired communication disorders. </w:t>
      </w:r>
      <w:r w:rsidR="00AF4B4A" w:rsidRPr="00AF4B4A">
        <w:rPr>
          <w:lang w:val="en-GB"/>
        </w:rPr>
        <w:t>Boolean phrases and MeSH</w:t>
      </w:r>
      <w:r w:rsidR="00AF4B4A">
        <w:rPr>
          <w:lang w:val="en-GB"/>
        </w:rPr>
        <w:t xml:space="preserve"> terms</w:t>
      </w:r>
      <w:r w:rsidR="00AF4B4A" w:rsidRPr="00AF4B4A">
        <w:rPr>
          <w:lang w:val="en-GB"/>
        </w:rPr>
        <w:t xml:space="preserve"> were utilized throughout the database search</w:t>
      </w:r>
      <w:r w:rsidR="00AF4B4A">
        <w:rPr>
          <w:lang w:val="en-GB"/>
        </w:rPr>
        <w:t xml:space="preserve"> to </w:t>
      </w:r>
      <w:r w:rsidR="00F87960">
        <w:rPr>
          <w:lang w:val="en-GB"/>
        </w:rPr>
        <w:t xml:space="preserve">ensure all relevant papers were identified. </w:t>
      </w:r>
      <w:r w:rsidR="005579DC">
        <w:rPr>
          <w:lang w:val="en-GB"/>
        </w:rPr>
        <w:t>Each stage of the screening</w:t>
      </w:r>
      <w:r w:rsidR="00B46EB9">
        <w:rPr>
          <w:lang w:val="en-GB"/>
        </w:rPr>
        <w:t xml:space="preserve">, </w:t>
      </w:r>
      <w:r w:rsidR="005579DC">
        <w:rPr>
          <w:lang w:val="en-GB"/>
        </w:rPr>
        <w:t>quality appraisal</w:t>
      </w:r>
      <w:r w:rsidR="00B46EB9">
        <w:rPr>
          <w:lang w:val="en-GB"/>
        </w:rPr>
        <w:t>, and data extraction</w:t>
      </w:r>
      <w:r w:rsidR="005579DC">
        <w:rPr>
          <w:lang w:val="en-GB"/>
        </w:rPr>
        <w:t xml:space="preserve"> process</w:t>
      </w:r>
      <w:r w:rsidR="00936D66">
        <w:rPr>
          <w:lang w:val="en-GB"/>
        </w:rPr>
        <w:t>es were carried out by two independent reviewers, with disagreements mediated by a</w:t>
      </w:r>
      <w:r w:rsidR="00DD3342">
        <w:rPr>
          <w:lang w:val="en-GB"/>
        </w:rPr>
        <w:t>n impartial third reviewer.</w:t>
      </w:r>
      <w:r w:rsidR="00414896">
        <w:rPr>
          <w:lang w:val="en-GB"/>
        </w:rPr>
        <w:t xml:space="preserve"> As this review aimed to evaluate the literature at the intersection</w:t>
      </w:r>
      <w:r w:rsidR="00B46EB9">
        <w:rPr>
          <w:lang w:val="en-GB"/>
        </w:rPr>
        <w:t xml:space="preserve"> of</w:t>
      </w:r>
      <w:r w:rsidR="00414896">
        <w:rPr>
          <w:lang w:val="en-GB"/>
        </w:rPr>
        <w:t xml:space="preserve"> acquired communication disorders and medication adherence, we felt that it wa</w:t>
      </w:r>
      <w:r w:rsidR="00B46EB9">
        <w:rPr>
          <w:lang w:val="en-GB"/>
        </w:rPr>
        <w:t xml:space="preserve">s important that Pharmacists (LS, FM) and Speech and Language Therapists (SB, HK) be equally represented within the research team. </w:t>
      </w:r>
    </w:p>
    <w:p w14:paraId="3BE36971" w14:textId="77777777" w:rsidR="00DD3342" w:rsidRPr="000A002D" w:rsidRDefault="00DD3342" w:rsidP="000A002D">
      <w:pPr>
        <w:pStyle w:val="ListParagraph"/>
        <w:rPr>
          <w:lang w:val="en-GB"/>
        </w:rPr>
      </w:pPr>
    </w:p>
    <w:p w14:paraId="052D6BB2" w14:textId="6DC22722" w:rsidR="000A002D" w:rsidRDefault="000A002D">
      <w:pPr>
        <w:pStyle w:val="ListParagraph"/>
        <w:numPr>
          <w:ilvl w:val="1"/>
          <w:numId w:val="2"/>
        </w:numPr>
        <w:rPr>
          <w:b/>
          <w:bCs/>
          <w:lang w:val="en-GB"/>
        </w:rPr>
      </w:pPr>
      <w:r>
        <w:rPr>
          <w:b/>
          <w:bCs/>
          <w:lang w:val="en-GB"/>
        </w:rPr>
        <w:t>Limitations</w:t>
      </w:r>
    </w:p>
    <w:p w14:paraId="2338C4B1" w14:textId="3BF12AC1" w:rsidR="00DD3342" w:rsidRPr="00DD3342" w:rsidRDefault="006B4853" w:rsidP="00DD3342">
      <w:pPr>
        <w:pStyle w:val="ListParagraph"/>
        <w:rPr>
          <w:lang w:val="en-GB"/>
        </w:rPr>
      </w:pPr>
      <w:r>
        <w:rPr>
          <w:lang w:val="en-GB"/>
        </w:rPr>
        <w:t xml:space="preserve">Heterogeneity in the data of included studies did not allow for </w:t>
      </w:r>
      <w:r w:rsidR="00F43E56">
        <w:rPr>
          <w:lang w:val="en-GB"/>
        </w:rPr>
        <w:t>meta-analysis</w:t>
      </w:r>
      <w:r w:rsidR="002A02CD">
        <w:rPr>
          <w:lang w:val="en-GB"/>
        </w:rPr>
        <w:t xml:space="preserve"> or summarising of effects across studies.</w:t>
      </w:r>
      <w:r w:rsidR="000A5C0B">
        <w:rPr>
          <w:lang w:val="en-GB"/>
        </w:rPr>
        <w:t xml:space="preserve"> The i</w:t>
      </w:r>
      <w:r w:rsidR="000A5C0B" w:rsidRPr="00542416">
        <w:rPr>
          <w:lang w:val="en-GB"/>
        </w:rPr>
        <w:t>nconsistency, interchangeability</w:t>
      </w:r>
      <w:r w:rsidR="000A5C0B">
        <w:rPr>
          <w:lang w:val="en-GB"/>
        </w:rPr>
        <w:t xml:space="preserve"> and diversity</w:t>
      </w:r>
      <w:r w:rsidR="000A5C0B" w:rsidRPr="00542416">
        <w:rPr>
          <w:lang w:val="en-GB"/>
        </w:rPr>
        <w:t xml:space="preserve"> of terms used </w:t>
      </w:r>
      <w:r w:rsidR="000A5C0B">
        <w:rPr>
          <w:lang w:val="en-GB"/>
        </w:rPr>
        <w:t>to describe acquired communication disorders</w:t>
      </w:r>
      <w:r w:rsidR="001947F7">
        <w:rPr>
          <w:lang w:val="en-GB"/>
        </w:rPr>
        <w:t xml:space="preserve"> may have led to some terms being unkno</w:t>
      </w:r>
      <w:r w:rsidR="00EF0C97">
        <w:rPr>
          <w:lang w:val="en-GB"/>
        </w:rPr>
        <w:t>wingly omitted from the search strategy carried out in this review.</w:t>
      </w:r>
      <w:r w:rsidR="0071743F">
        <w:rPr>
          <w:lang w:val="en-GB"/>
        </w:rPr>
        <w:t xml:space="preserve"> </w:t>
      </w:r>
      <w:r w:rsidR="006A2817">
        <w:rPr>
          <w:lang w:val="en-GB"/>
        </w:rPr>
        <w:t>However, two of the authors are speech and language therapists</w:t>
      </w:r>
      <w:r w:rsidR="00EF4049">
        <w:rPr>
          <w:lang w:val="en-GB"/>
        </w:rPr>
        <w:t xml:space="preserve"> who </w:t>
      </w:r>
      <w:r w:rsidR="006A2817">
        <w:rPr>
          <w:lang w:val="en-GB"/>
        </w:rPr>
        <w:t>specialis</w:t>
      </w:r>
      <w:r w:rsidR="00EF4049">
        <w:rPr>
          <w:lang w:val="en-GB"/>
        </w:rPr>
        <w:t xml:space="preserve">e </w:t>
      </w:r>
      <w:r w:rsidR="006A2817">
        <w:rPr>
          <w:lang w:val="en-GB"/>
        </w:rPr>
        <w:t>in acquired communication impairment and so k</w:t>
      </w:r>
      <w:r w:rsidR="0071743F">
        <w:rPr>
          <w:lang w:val="en-GB"/>
        </w:rPr>
        <w:t xml:space="preserve">ey terms relating to aphasia, </w:t>
      </w:r>
      <w:r w:rsidR="007D2FB2">
        <w:rPr>
          <w:lang w:val="en-GB"/>
        </w:rPr>
        <w:t xml:space="preserve">dementia and neurodegenerative disorders were </w:t>
      </w:r>
      <w:r w:rsidR="00D05ECF">
        <w:rPr>
          <w:lang w:val="en-GB"/>
        </w:rPr>
        <w:t xml:space="preserve">included as these </w:t>
      </w:r>
      <w:r w:rsidR="00597972">
        <w:rPr>
          <w:lang w:val="en-GB"/>
        </w:rPr>
        <w:t xml:space="preserve">health conditions </w:t>
      </w:r>
      <w:r w:rsidR="00F446A9">
        <w:rPr>
          <w:lang w:val="en-GB"/>
        </w:rPr>
        <w:t xml:space="preserve">are most commonly associated with both medication-taking and acquired communication disorders. </w:t>
      </w:r>
      <w:r w:rsidR="005D2324">
        <w:rPr>
          <w:lang w:val="en-GB"/>
        </w:rPr>
        <w:t>G</w:t>
      </w:r>
      <w:r w:rsidR="003377C6">
        <w:rPr>
          <w:lang w:val="en-GB"/>
        </w:rPr>
        <w:t xml:space="preserve">rey literature </w:t>
      </w:r>
      <w:r w:rsidR="0006130F">
        <w:rPr>
          <w:lang w:val="en-GB"/>
        </w:rPr>
        <w:t>such as conference abstracts</w:t>
      </w:r>
      <w:r w:rsidR="00E008F7">
        <w:rPr>
          <w:lang w:val="en-GB"/>
        </w:rPr>
        <w:t xml:space="preserve"> and study protocols </w:t>
      </w:r>
      <w:r w:rsidR="003377C6">
        <w:rPr>
          <w:lang w:val="en-GB"/>
        </w:rPr>
        <w:t>were not included in this review, whi</w:t>
      </w:r>
      <w:r w:rsidR="005D2324">
        <w:rPr>
          <w:lang w:val="en-GB"/>
        </w:rPr>
        <w:t xml:space="preserve">ch may lead to </w:t>
      </w:r>
      <w:r w:rsidR="00E008F7">
        <w:rPr>
          <w:lang w:val="en-GB"/>
        </w:rPr>
        <w:t xml:space="preserve">some </w:t>
      </w:r>
      <w:r w:rsidR="005D2324">
        <w:rPr>
          <w:lang w:val="en-GB"/>
        </w:rPr>
        <w:t xml:space="preserve">publication bias. However, </w:t>
      </w:r>
      <w:r w:rsidR="009808C1">
        <w:rPr>
          <w:lang w:val="en-GB"/>
        </w:rPr>
        <w:t xml:space="preserve">searches were repeated prior to data analysis </w:t>
      </w:r>
      <w:r w:rsidR="003E1CB1">
        <w:rPr>
          <w:lang w:val="en-GB"/>
        </w:rPr>
        <w:t xml:space="preserve">in order to identify newly published literature. </w:t>
      </w:r>
    </w:p>
    <w:p w14:paraId="749E3E68" w14:textId="77777777" w:rsidR="00D6317F" w:rsidRDefault="00D6317F" w:rsidP="00D6317F">
      <w:pPr>
        <w:pStyle w:val="ListParagraph"/>
        <w:rPr>
          <w:b/>
          <w:bCs/>
          <w:lang w:val="en-GB"/>
        </w:rPr>
      </w:pPr>
    </w:p>
    <w:p w14:paraId="4F653E4E" w14:textId="77777777" w:rsidR="00201FA4" w:rsidRDefault="00D6317F">
      <w:pPr>
        <w:pStyle w:val="ListParagraph"/>
        <w:numPr>
          <w:ilvl w:val="0"/>
          <w:numId w:val="2"/>
        </w:numPr>
        <w:rPr>
          <w:b/>
          <w:bCs/>
          <w:lang w:val="en-GB"/>
        </w:rPr>
      </w:pPr>
      <w:r>
        <w:rPr>
          <w:b/>
          <w:bCs/>
          <w:lang w:val="en-GB"/>
        </w:rPr>
        <w:t>Conclusions</w:t>
      </w:r>
    </w:p>
    <w:p w14:paraId="45477CFE" w14:textId="7AD2B38B" w:rsidR="00B4307A" w:rsidRDefault="007C47D3" w:rsidP="00201FA4">
      <w:pPr>
        <w:pStyle w:val="ListParagraph"/>
        <w:rPr>
          <w:lang w:val="en-GB"/>
        </w:rPr>
      </w:pPr>
      <w:r w:rsidRPr="00201FA4">
        <w:rPr>
          <w:lang w:val="en-GB"/>
        </w:rPr>
        <w:t xml:space="preserve">This systematic review </w:t>
      </w:r>
      <w:r w:rsidR="009A3762">
        <w:rPr>
          <w:lang w:val="en-GB"/>
        </w:rPr>
        <w:t>synthesises</w:t>
      </w:r>
      <w:r w:rsidR="00201FA4" w:rsidRPr="00201FA4">
        <w:rPr>
          <w:lang w:val="en-GB"/>
        </w:rPr>
        <w:t xml:space="preserve"> the literature relating to factors influencing medication adherence for people with acquired communication disorders</w:t>
      </w:r>
      <w:r w:rsidR="009A3762">
        <w:rPr>
          <w:lang w:val="en-GB"/>
        </w:rPr>
        <w:t xml:space="preserve">. </w:t>
      </w:r>
      <w:r w:rsidR="00557020">
        <w:rPr>
          <w:lang w:val="en-GB"/>
        </w:rPr>
        <w:t>Patient related factors</w:t>
      </w:r>
      <w:r w:rsidR="00DC49FE">
        <w:rPr>
          <w:lang w:val="en-GB"/>
        </w:rPr>
        <w:t xml:space="preserve"> such as </w:t>
      </w:r>
      <w:r w:rsidR="00CA472F">
        <w:rPr>
          <w:lang w:val="en-GB"/>
        </w:rPr>
        <w:t>condition</w:t>
      </w:r>
      <w:r w:rsidR="007B7DF0">
        <w:rPr>
          <w:lang w:val="en-GB"/>
        </w:rPr>
        <w:t xml:space="preserve"> severity</w:t>
      </w:r>
      <w:r w:rsidR="00557020">
        <w:rPr>
          <w:lang w:val="en-GB"/>
        </w:rPr>
        <w:t xml:space="preserve"> are most commonly associated with medication non-adherence in this population</w:t>
      </w:r>
      <w:r w:rsidR="00B31398">
        <w:rPr>
          <w:lang w:val="en-GB"/>
        </w:rPr>
        <w:t xml:space="preserve">. </w:t>
      </w:r>
      <w:r w:rsidR="00CB63B5">
        <w:rPr>
          <w:lang w:val="en-GB"/>
        </w:rPr>
        <w:t xml:space="preserve">While no gold standard of assessment of or intervention for medication adherence </w:t>
      </w:r>
      <w:r w:rsidR="00DA46B8">
        <w:rPr>
          <w:lang w:val="en-GB"/>
        </w:rPr>
        <w:t>currently exists</w:t>
      </w:r>
      <w:r w:rsidR="00217922">
        <w:rPr>
          <w:lang w:val="en-GB"/>
        </w:rPr>
        <w:t xml:space="preserve"> for a population with acquired communication disorders, </w:t>
      </w:r>
      <w:r w:rsidR="006A20E6">
        <w:rPr>
          <w:lang w:val="en-GB"/>
        </w:rPr>
        <w:t xml:space="preserve">existing tools may be </w:t>
      </w:r>
      <w:r w:rsidR="005A7C23">
        <w:rPr>
          <w:lang w:val="en-GB"/>
        </w:rPr>
        <w:t xml:space="preserve">successfully modified </w:t>
      </w:r>
      <w:r w:rsidR="00A00D61">
        <w:rPr>
          <w:lang w:val="en-GB"/>
        </w:rPr>
        <w:t xml:space="preserve">to their individual needs. </w:t>
      </w:r>
    </w:p>
    <w:p w14:paraId="003ED017" w14:textId="77777777" w:rsidR="00B4307A" w:rsidRDefault="00B4307A">
      <w:pPr>
        <w:rPr>
          <w:lang w:val="en-GB"/>
        </w:rPr>
      </w:pPr>
      <w:r>
        <w:rPr>
          <w:lang w:val="en-GB"/>
        </w:rPr>
        <w:br w:type="page"/>
      </w:r>
    </w:p>
    <w:p w14:paraId="2AD65048" w14:textId="49089859" w:rsidR="00201FA4" w:rsidRDefault="00B4307A" w:rsidP="00201FA4">
      <w:pPr>
        <w:pStyle w:val="ListParagraph"/>
        <w:rPr>
          <w:lang w:val="en-GB"/>
        </w:rPr>
      </w:pPr>
      <w:r>
        <w:rPr>
          <w:lang w:val="en-GB"/>
        </w:rPr>
        <w:lastRenderedPageBreak/>
        <w:t xml:space="preserve">References </w:t>
      </w:r>
    </w:p>
    <w:p w14:paraId="6CFC252F" w14:textId="77777777" w:rsidR="00B4307A" w:rsidRDefault="00B4307A" w:rsidP="00201FA4">
      <w:pPr>
        <w:pStyle w:val="ListParagraph"/>
        <w:rPr>
          <w:lang w:val="en-GB"/>
        </w:rPr>
      </w:pPr>
    </w:p>
    <w:p w14:paraId="76895B3F" w14:textId="77777777" w:rsidR="0007047F" w:rsidRPr="00F93B67" w:rsidRDefault="0007047F" w:rsidP="0007047F">
      <w:pPr>
        <w:rPr>
          <w:rFonts w:cstheme="minorHAnsi"/>
          <w:lang w:val="en-GB"/>
        </w:rPr>
      </w:pPr>
      <w:r w:rsidRPr="00F93B67">
        <w:rPr>
          <w:rFonts w:cstheme="minorHAnsi"/>
          <w:lang w:val="en-GB"/>
        </w:rPr>
        <w:t xml:space="preserve">References </w:t>
      </w:r>
    </w:p>
    <w:p w14:paraId="0E7E8556" w14:textId="77777777" w:rsidR="0007047F" w:rsidRPr="00F93B67" w:rsidRDefault="0007047F" w:rsidP="0007047F">
      <w:pPr>
        <w:rPr>
          <w:rFonts w:cstheme="minorHAnsi"/>
          <w:lang w:val="en-GB"/>
        </w:rPr>
      </w:pPr>
      <w:r w:rsidRPr="00F93B67">
        <w:rPr>
          <w:rFonts w:cstheme="minorHAnsi"/>
          <w:lang w:val="en-GB"/>
        </w:rPr>
        <w:t>[1] Aldridge, D., Cahill, L. and Theodoros, D. (2022) ‘Assessment of communication competence in acquired Communication Disorders: A systematic scoping review’, International Journal of Speech-Language Pathology, 25(2), pp. 306–316. doi:10.1080/17549507.2022.2055142.</w:t>
      </w:r>
    </w:p>
    <w:p w14:paraId="26CDFB0D" w14:textId="77777777" w:rsidR="0007047F" w:rsidRPr="00F93B67" w:rsidRDefault="0007047F" w:rsidP="0007047F">
      <w:pPr>
        <w:rPr>
          <w:rFonts w:cstheme="minorHAnsi"/>
          <w:lang w:val="en-GB"/>
        </w:rPr>
      </w:pPr>
      <w:r w:rsidRPr="00F93B67">
        <w:rPr>
          <w:rFonts w:cstheme="minorHAnsi"/>
          <w:lang w:val="en-GB"/>
        </w:rPr>
        <w:t>[2] Papathanasiou, I. &amp; Coppens, P. 2017, Aphasia and related neurogenic communication disorders, Second edn, Jones &amp; Bartlett Learning, Burlington, MA.</w:t>
      </w:r>
    </w:p>
    <w:p w14:paraId="4724EE26" w14:textId="77777777" w:rsidR="0007047F" w:rsidRPr="00F93B67" w:rsidRDefault="0007047F" w:rsidP="0007047F">
      <w:pPr>
        <w:rPr>
          <w:rFonts w:cstheme="minorHAnsi"/>
          <w:lang w:val="en-GB"/>
        </w:rPr>
      </w:pPr>
      <w:r w:rsidRPr="00F93B67">
        <w:rPr>
          <w:rFonts w:cstheme="minorHAnsi"/>
          <w:lang w:val="en-GB"/>
        </w:rPr>
        <w:t>[3] Brookshire, R.H. &amp; McNeil, M.R. 2015, Introduction to neurogenic communication disorders, Eighth edn, Elsevier, St. Louis, Missouri.</w:t>
      </w:r>
    </w:p>
    <w:p w14:paraId="6ED10C22" w14:textId="77777777" w:rsidR="0007047F" w:rsidRPr="00F93B67" w:rsidRDefault="0007047F" w:rsidP="0007047F">
      <w:pPr>
        <w:rPr>
          <w:rFonts w:cstheme="minorHAnsi"/>
          <w:lang w:val="en-GB"/>
        </w:rPr>
      </w:pPr>
      <w:r w:rsidRPr="00F93B67">
        <w:rPr>
          <w:rFonts w:cstheme="minorHAnsi"/>
          <w:lang w:val="en-GB"/>
        </w:rPr>
        <w:t>[4] Mitchell C, Gittins M, Tyson S, Vail A, Conroy P, Paley L et al. 2020. Prevalence of aphasia and dysarthria among inpatient stroke survivors: describing the population, therapy provision and outcomes on discharge. Aphasiology pp 1–11</w:t>
      </w:r>
    </w:p>
    <w:p w14:paraId="64CB5681" w14:textId="77777777" w:rsidR="0007047F" w:rsidRPr="00F93B67" w:rsidRDefault="0007047F" w:rsidP="0007047F">
      <w:pPr>
        <w:rPr>
          <w:rFonts w:cstheme="minorHAnsi"/>
          <w:lang w:val="en-GB"/>
        </w:rPr>
      </w:pPr>
      <w:r w:rsidRPr="00F93B67">
        <w:rPr>
          <w:rFonts w:cstheme="minorHAnsi"/>
          <w:lang w:val="en-GB"/>
        </w:rPr>
        <w:t>[5] Pedersen PMO, Jorgensen HS, Kammersgaard LP, Nakayama H, Raaschou HO, Olsen TSO (2001) Manual and oral apraxia in acute stroke, frequency and influence on functional outcome: the copenhagen stroke study. Am J Phys Med Rehab 80(9):685–692</w:t>
      </w:r>
    </w:p>
    <w:p w14:paraId="67C29144" w14:textId="77777777" w:rsidR="0007047F" w:rsidRPr="00F93B67" w:rsidRDefault="0007047F" w:rsidP="0007047F">
      <w:pPr>
        <w:rPr>
          <w:rFonts w:cstheme="minorHAnsi"/>
          <w:lang w:val="en-GB"/>
        </w:rPr>
      </w:pPr>
      <w:r w:rsidRPr="00F93B67">
        <w:rPr>
          <w:rFonts w:cstheme="minorHAnsi"/>
          <w:lang w:val="en-GB"/>
        </w:rPr>
        <w:t>[6] Donkervoort M, Dekker J, van den Ende E, Stehmann-Saris JC (2000) Prevalence of apraxia among patients with a first left hemisphere stroke in rehabilitation centres and nursing homes. Clin Rehab 14(2):130–136</w:t>
      </w:r>
    </w:p>
    <w:p w14:paraId="2E4BC7F4" w14:textId="77777777" w:rsidR="0007047F" w:rsidRPr="00F93B67" w:rsidRDefault="0007047F" w:rsidP="0007047F">
      <w:pPr>
        <w:rPr>
          <w:rFonts w:cstheme="minorHAnsi"/>
          <w:lang w:val="en-GB"/>
        </w:rPr>
      </w:pPr>
      <w:r w:rsidRPr="00F93B67">
        <w:rPr>
          <w:rFonts w:cstheme="minorHAnsi"/>
          <w:lang w:val="en-GB"/>
        </w:rPr>
        <w:t>[7] Grönberg A, Henriksson I, Stenman M, Lindgren AG. Incidence of Aphasia in Ischemic Stroke. Neuroepidemiology. 2022;56(3):174-182. doi: 10.1159/000524206. Epub 2022 Mar 23. PMID: 35320798.</w:t>
      </w:r>
    </w:p>
    <w:p w14:paraId="2C42A4D9" w14:textId="77777777" w:rsidR="0007047F" w:rsidRPr="00F93B67" w:rsidRDefault="0007047F" w:rsidP="0007047F">
      <w:pPr>
        <w:rPr>
          <w:rFonts w:cstheme="minorHAnsi"/>
          <w:color w:val="000000" w:themeColor="text1"/>
        </w:rPr>
      </w:pPr>
      <w:r w:rsidRPr="00F93B67">
        <w:rPr>
          <w:rFonts w:cstheme="minorHAnsi"/>
          <w:lang w:val="en-GB"/>
        </w:rPr>
        <w:t xml:space="preserve">[8] </w:t>
      </w:r>
      <w:r w:rsidRPr="00F93B67">
        <w:rPr>
          <w:rFonts w:cstheme="minorHAnsi"/>
          <w:color w:val="000000" w:themeColor="text1"/>
        </w:rPr>
        <w:t>Health Service Executive. Irish National Stroke Strategy 2022-2027. Health Service Executive, Dublin; 2022.</w:t>
      </w:r>
    </w:p>
    <w:p w14:paraId="13BADE12" w14:textId="77777777" w:rsidR="0007047F" w:rsidRPr="00F93B67" w:rsidRDefault="0007047F" w:rsidP="0007047F">
      <w:pPr>
        <w:rPr>
          <w:rFonts w:cstheme="minorHAnsi"/>
          <w:color w:val="000000" w:themeColor="text1"/>
        </w:rPr>
      </w:pPr>
      <w:r w:rsidRPr="00F93B67">
        <w:rPr>
          <w:rFonts w:cstheme="minorHAnsi"/>
          <w:color w:val="000000" w:themeColor="text1"/>
        </w:rPr>
        <w:t>[9] Deuschl, G., Beghi, E., Fazekas, F., Varga, T., Christoforidi, K.A., Sipido, E., Bassetti, C.L., Vos, T. &amp; Feigin, V.L. 2020, "The burden of neurological diseases in Europe: an analysis for the Global Burden of Disease Study 2017", The Lancet. Public health, vol. 5, no. 10, pp. e551-e567.</w:t>
      </w:r>
    </w:p>
    <w:p w14:paraId="02E605BA" w14:textId="77777777" w:rsidR="0007047F" w:rsidRPr="00F93B67" w:rsidRDefault="0007047F" w:rsidP="0007047F">
      <w:pPr>
        <w:rPr>
          <w:rFonts w:cstheme="minorHAnsi"/>
          <w:color w:val="000000" w:themeColor="text1"/>
        </w:rPr>
      </w:pPr>
      <w:r w:rsidRPr="00F93B67">
        <w:rPr>
          <w:rFonts w:cstheme="minorHAnsi"/>
          <w:color w:val="000000" w:themeColor="text1"/>
        </w:rPr>
        <w:t xml:space="preserve">[10] National Clinical Guideline for Stroke for the UK and Ireland. London: Intercollegiate Stroke Working Party; 2023 May 4. Available at: </w:t>
      </w:r>
      <w:hyperlink r:id="rId10" w:history="1">
        <w:r w:rsidRPr="00F93B67">
          <w:rPr>
            <w:rStyle w:val="Hyperlink"/>
            <w:rFonts w:cstheme="minorHAnsi"/>
          </w:rPr>
          <w:t>www.strokeguideline.org</w:t>
        </w:r>
      </w:hyperlink>
      <w:r w:rsidRPr="00F93B67">
        <w:rPr>
          <w:rFonts w:cstheme="minorHAnsi"/>
          <w:color w:val="000000" w:themeColor="text1"/>
        </w:rPr>
        <w:t>.</w:t>
      </w:r>
    </w:p>
    <w:p w14:paraId="4D7651FD" w14:textId="77777777" w:rsidR="0007047F" w:rsidRPr="00F93B67" w:rsidRDefault="0007047F" w:rsidP="0007047F">
      <w:pPr>
        <w:rPr>
          <w:rFonts w:cstheme="minorHAnsi"/>
          <w:color w:val="000000" w:themeColor="text1"/>
        </w:rPr>
      </w:pPr>
      <w:r w:rsidRPr="00F93B67">
        <w:rPr>
          <w:rFonts w:cstheme="minorHAnsi"/>
          <w:color w:val="000000" w:themeColor="text1"/>
        </w:rPr>
        <w:t>[11] Pink, J., O’Brien, J., Robinson, L., Longson, D. &amp; Guideline Committee 2018, "Dementia: assessment, management and support: summary of updated NICE guidance", BMJ (Online), vol. 361, pp. k2438-k2438.</w:t>
      </w:r>
    </w:p>
    <w:p w14:paraId="4F343133" w14:textId="77777777" w:rsidR="0007047F" w:rsidRPr="00F93B67" w:rsidRDefault="0007047F" w:rsidP="0007047F">
      <w:pPr>
        <w:rPr>
          <w:rFonts w:cstheme="minorHAnsi"/>
          <w:color w:val="000000" w:themeColor="text1"/>
        </w:rPr>
      </w:pPr>
      <w:r w:rsidRPr="00F93B67">
        <w:rPr>
          <w:rFonts w:cstheme="minorHAnsi"/>
          <w:color w:val="000000" w:themeColor="text1"/>
        </w:rPr>
        <w:t>[12] Rogers, G., Davies, D., Pink, J. &amp; Cooper, P. 2017, "Parkinson’s disease: summary of updated NICE guidance", BMJ (Online), vol. 358, no. 8117, pp. j1951-j1951</w:t>
      </w:r>
    </w:p>
    <w:p w14:paraId="20505DA7" w14:textId="77777777" w:rsidR="0007047F" w:rsidRPr="00F93B67" w:rsidRDefault="0007047F" w:rsidP="0007047F">
      <w:pPr>
        <w:rPr>
          <w:rFonts w:cstheme="minorHAnsi"/>
          <w:color w:val="000000" w:themeColor="text1"/>
        </w:rPr>
      </w:pPr>
      <w:r w:rsidRPr="00F93B67">
        <w:rPr>
          <w:rFonts w:cstheme="minorHAnsi"/>
          <w:color w:val="000000" w:themeColor="text1"/>
        </w:rPr>
        <w:t>[13] Kalilani, L., Friesen, D., Boudiaf, N. &amp; Asgharnejad, M. 2019, "The characteristics and treatment patterns of patients with Parkinson's disease in the United States and United Kingdom: A retrospective cohort study", PloS one, vol. 14, no. 11, pp. e0225723-e0225723.</w:t>
      </w:r>
    </w:p>
    <w:p w14:paraId="46258744" w14:textId="77777777" w:rsidR="0007047F" w:rsidRPr="00F93B67" w:rsidRDefault="0007047F" w:rsidP="0007047F">
      <w:pPr>
        <w:rPr>
          <w:rFonts w:cstheme="minorHAnsi"/>
          <w:color w:val="000000" w:themeColor="text1"/>
        </w:rPr>
      </w:pPr>
      <w:r w:rsidRPr="00F93B67">
        <w:rPr>
          <w:rFonts w:cstheme="minorHAnsi"/>
          <w:color w:val="000000" w:themeColor="text1"/>
        </w:rPr>
        <w:t>[14] Chertcoff A, Ng HS, Zhu F, Zhao Y, Tremlett H. Polypharmacy and multiple sclerosis: A population-based study. Multiple Sclerosis Journal. 2023;29(1):107-118. doi:10.1177/13524585221122207</w:t>
      </w:r>
    </w:p>
    <w:p w14:paraId="28C30D01" w14:textId="77777777" w:rsidR="0007047F" w:rsidRPr="00F93B67" w:rsidRDefault="0007047F" w:rsidP="0007047F">
      <w:pPr>
        <w:rPr>
          <w:rFonts w:cstheme="minorHAnsi"/>
          <w:color w:val="000000" w:themeColor="text1"/>
        </w:rPr>
      </w:pPr>
      <w:r w:rsidRPr="00F93B67">
        <w:rPr>
          <w:rFonts w:cstheme="minorHAnsi"/>
          <w:color w:val="000000" w:themeColor="text1"/>
        </w:rPr>
        <w:lastRenderedPageBreak/>
        <w:t>[15] Straka I, Minár M, Gažová A, Valkovič P, Kyselovič J. Clinical aspects of adherence to pharmacotherapy in Parkinson disease: A PRISMA-compliant systematic review. Medicine (Baltimore). 2018;97(23):e10962. doi:10.1097/MD.0000000000010962</w:t>
      </w:r>
    </w:p>
    <w:p w14:paraId="5DD695E9" w14:textId="77777777" w:rsidR="0007047F" w:rsidRPr="00F93B67" w:rsidRDefault="0007047F" w:rsidP="0007047F">
      <w:pPr>
        <w:rPr>
          <w:rFonts w:cstheme="minorHAnsi"/>
          <w:color w:val="000000" w:themeColor="text1"/>
        </w:rPr>
      </w:pPr>
      <w:r w:rsidRPr="00F93B67">
        <w:rPr>
          <w:rFonts w:cstheme="minorHAnsi"/>
          <w:color w:val="000000" w:themeColor="text1"/>
        </w:rPr>
        <w:t xml:space="preserve">[16] van Boven JF, Tsiligianni I, Potočnjak I, Mihajlović J, Dima AL, Nabergoj Makovec U, et al. European Network to Advance Best Practices and Technology on Medication Adherence: Mission Statement. Frontiers in pharmacology. 2021; 12, 748702. </w:t>
      </w:r>
      <w:hyperlink r:id="rId11" w:history="1">
        <w:r w:rsidRPr="00F93B67">
          <w:rPr>
            <w:rStyle w:val="Hyperlink"/>
            <w:rFonts w:cstheme="minorHAnsi"/>
          </w:rPr>
          <w:t>https://doi.org/10.3389/fphar.2021.748702</w:t>
        </w:r>
      </w:hyperlink>
    </w:p>
    <w:p w14:paraId="0C41EE7A" w14:textId="77777777" w:rsidR="0007047F" w:rsidRPr="00F93B67" w:rsidRDefault="0007047F" w:rsidP="0007047F">
      <w:pPr>
        <w:rPr>
          <w:rFonts w:cstheme="minorHAnsi"/>
          <w:color w:val="000000" w:themeColor="text1"/>
        </w:rPr>
      </w:pPr>
      <w:r w:rsidRPr="00F93B67">
        <w:rPr>
          <w:rFonts w:cstheme="minorHAnsi"/>
          <w:color w:val="000000" w:themeColor="text1"/>
        </w:rPr>
        <w:t>[17] Mathes T, Jaschinski T, Pieper D. Adherence influencing factors - a systematic review of systematic reviews. Arch Public Health. 2014;72(1):37. Published 2014 Oct 27. doi:10.1186/2049-3258-72-37</w:t>
      </w:r>
    </w:p>
    <w:p w14:paraId="58668833" w14:textId="77777777" w:rsidR="0007047F" w:rsidRPr="00F93B67" w:rsidRDefault="0007047F" w:rsidP="0007047F">
      <w:pPr>
        <w:rPr>
          <w:rFonts w:cstheme="minorHAnsi"/>
          <w:color w:val="000000" w:themeColor="text1"/>
        </w:rPr>
      </w:pPr>
      <w:r w:rsidRPr="00F93B67">
        <w:rPr>
          <w:rFonts w:cstheme="minorHAnsi"/>
          <w:lang w:val="en-GB"/>
        </w:rPr>
        <w:t>[18] Peh, K.Q.E., Kwan, Y.H., Goh, H. et al. An Adaptable Framework for Factors Contributing to Medication Adherence: Results from a Systematic Review of 102 Conceptual Frameworks. J GEN INTERN MED 36, 2784–2795 (2021). https://doi.org/10.1007/s11606-021-06648-1</w:t>
      </w:r>
    </w:p>
    <w:p w14:paraId="7083EA1C" w14:textId="77777777" w:rsidR="0007047F" w:rsidRPr="00F93B67" w:rsidRDefault="0007047F" w:rsidP="0007047F">
      <w:pPr>
        <w:rPr>
          <w:rFonts w:cstheme="minorHAnsi"/>
          <w:lang w:val="en-GB"/>
        </w:rPr>
      </w:pPr>
      <w:r w:rsidRPr="00F93B67">
        <w:rPr>
          <w:rFonts w:cstheme="minorHAnsi"/>
          <w:lang w:val="en-GB"/>
        </w:rPr>
        <w:t>[19] Miller TA. Health literacy and adherence to medical treatment in chronic and acute illness: A meta-analysis. Patient Educ Couns. 2016;99(7):1079-1086. doi:10.1016/j.pec.2016.01.020</w:t>
      </w:r>
    </w:p>
    <w:p w14:paraId="0FB92F5B" w14:textId="77777777" w:rsidR="0007047F" w:rsidRPr="00F93B67" w:rsidRDefault="0007047F" w:rsidP="0007047F">
      <w:pPr>
        <w:rPr>
          <w:rFonts w:cstheme="minorHAnsi"/>
          <w:lang w:val="en-GB"/>
        </w:rPr>
      </w:pPr>
      <w:r w:rsidRPr="00F93B67">
        <w:rPr>
          <w:rFonts w:cstheme="minorHAnsi"/>
          <w:lang w:val="en-GB"/>
        </w:rPr>
        <w:t>[20] Hester, E. J., &amp; Stevens-Ratchford, R. (2009). Health literacy and the role of the speech-language pathologist. American journal of speech-language pathology, 18(2), 180–191. https://doi.org/10.1044/1058-0360(2009/08-0005)</w:t>
      </w:r>
    </w:p>
    <w:p w14:paraId="4E5A8136" w14:textId="77777777" w:rsidR="0007047F" w:rsidRPr="00F93B67" w:rsidRDefault="0007047F" w:rsidP="0007047F">
      <w:pPr>
        <w:rPr>
          <w:rFonts w:cstheme="minorHAnsi"/>
          <w:lang w:val="en-GB"/>
        </w:rPr>
      </w:pPr>
      <w:r w:rsidRPr="00F93B67">
        <w:rPr>
          <w:rFonts w:cstheme="minorHAnsi"/>
          <w:color w:val="000000" w:themeColor="text1"/>
        </w:rPr>
        <w:t xml:space="preserve">[21] </w:t>
      </w:r>
      <w:r w:rsidRPr="00F93B67">
        <w:rPr>
          <w:rFonts w:cstheme="minorHAnsi"/>
          <w:lang w:val="en-GB"/>
        </w:rPr>
        <w:t>Brady MC, Kelly H, Godwin J, Enderby P, Campbell P. Speech and language therapy for aphasia following stroke. Cochrane Database Syst Rev. 2016 Jun 1;2016(6):CD000425. doi: 10.1002/14651858.CD000425.pub4. PMID: 27245310; PMCID: PMC8078645.</w:t>
      </w:r>
    </w:p>
    <w:p w14:paraId="011BD594" w14:textId="77777777" w:rsidR="0007047F" w:rsidRPr="00F93B67" w:rsidRDefault="0007047F" w:rsidP="0007047F">
      <w:pPr>
        <w:rPr>
          <w:rFonts w:cstheme="minorHAnsi"/>
          <w:color w:val="000000" w:themeColor="text1"/>
        </w:rPr>
      </w:pPr>
      <w:r w:rsidRPr="00F93B67">
        <w:rPr>
          <w:rFonts w:cstheme="minorHAnsi"/>
          <w:color w:val="000000" w:themeColor="text1"/>
        </w:rPr>
        <w:t>[22] Aldridge, D., Cahill, L. &amp; Theodoros, D. 2023, "Assessment of communication competence in acquired communication disorders: A systematic scoping review", International journal of speech language pathology, vol. 25, no. 2, pp. 306-316.</w:t>
      </w:r>
    </w:p>
    <w:p w14:paraId="23DD43E4" w14:textId="77777777" w:rsidR="0007047F" w:rsidRPr="00F93B67" w:rsidRDefault="0007047F" w:rsidP="0007047F">
      <w:pPr>
        <w:rPr>
          <w:rFonts w:cstheme="minorHAnsi"/>
          <w:color w:val="000000" w:themeColor="text1"/>
        </w:rPr>
      </w:pPr>
      <w:r w:rsidRPr="00F93B67">
        <w:rPr>
          <w:rFonts w:cstheme="minorHAnsi"/>
          <w:color w:val="000000" w:themeColor="text1"/>
        </w:rPr>
        <w:t>[23] Moher D, Liberati A, Tetzlaff J, Altman DG. Preferred reporting items for systematic reviews and meta-analyses: the PRISMA statement. Ann Intern Med. 2009; 151(4): 264-269.</w:t>
      </w:r>
    </w:p>
    <w:p w14:paraId="7A825359" w14:textId="77777777" w:rsidR="0007047F" w:rsidRPr="00F93B67" w:rsidRDefault="0007047F" w:rsidP="0007047F">
      <w:pPr>
        <w:rPr>
          <w:rFonts w:cstheme="minorHAnsi"/>
          <w:color w:val="000000" w:themeColor="text1"/>
        </w:rPr>
      </w:pPr>
      <w:r w:rsidRPr="00F93B67">
        <w:rPr>
          <w:rFonts w:cstheme="minorHAnsi"/>
          <w:color w:val="000000" w:themeColor="text1"/>
        </w:rPr>
        <w:t>[24] Campbell, M., McKenzie, J.E., Sowden, A., Katikireddi, S.V., Brennan, S.E., Ellis, S., Hartmann-Boyce, J., Ryan, R., Shepperd, S., Thomas, J., Welch, V. &amp; Thomson, H. 2020, "Synthesis without meta-analysis (SWiM) in systematic reviews: reporting guideline", BMJ (Online), vol. 368, pp. l6890-l6890.</w:t>
      </w:r>
    </w:p>
    <w:p w14:paraId="74C47AA6" w14:textId="77777777" w:rsidR="0007047F" w:rsidRPr="00F93B67" w:rsidRDefault="0007047F" w:rsidP="0007047F">
      <w:pPr>
        <w:rPr>
          <w:rFonts w:cstheme="minorHAnsi"/>
          <w:color w:val="000000" w:themeColor="text1"/>
        </w:rPr>
      </w:pPr>
      <w:r w:rsidRPr="00F93B67">
        <w:rPr>
          <w:rFonts w:cstheme="minorHAnsi"/>
          <w:color w:val="000000" w:themeColor="text1"/>
        </w:rPr>
        <w:t xml:space="preserve">[25] Bell S, Kelly H, Sahm LJ. Medication Adherence in People With Acquired Communication Disorders: A Systematic Review of the Literature. PROSPERO 2022 CRD42022301865 Available from: </w:t>
      </w:r>
      <w:hyperlink r:id="rId12" w:history="1">
        <w:r w:rsidRPr="00F93B67">
          <w:rPr>
            <w:rStyle w:val="Hyperlink"/>
            <w:rFonts w:cstheme="minorHAnsi"/>
          </w:rPr>
          <w:t>https://www.crd.york.ac.uk/prospero/display_record.php?ID=CRD42022301865</w:t>
        </w:r>
      </w:hyperlink>
    </w:p>
    <w:p w14:paraId="30A21789" w14:textId="77777777" w:rsidR="0007047F" w:rsidRPr="00F93B67" w:rsidRDefault="50CE50D5" w:rsidP="0066540A">
      <w:pPr>
        <w:pStyle w:val="NormalWeb"/>
        <w:rPr>
          <w:rFonts w:asciiTheme="minorHAnsi" w:hAnsiTheme="minorHAnsi" w:cstheme="minorBidi"/>
          <w:sz w:val="22"/>
          <w:szCs w:val="22"/>
        </w:rPr>
      </w:pPr>
      <w:r w:rsidRPr="141E890C">
        <w:rPr>
          <w:rFonts w:asciiTheme="minorHAnsi" w:hAnsiTheme="minorHAnsi" w:cstheme="minorBidi"/>
          <w:color w:val="000000" w:themeColor="text1"/>
          <w:sz w:val="22"/>
          <w:szCs w:val="22"/>
        </w:rPr>
        <w:t xml:space="preserve">[26] </w:t>
      </w:r>
      <w:r w:rsidRPr="141E890C">
        <w:rPr>
          <w:rFonts w:asciiTheme="minorHAnsi" w:hAnsiTheme="minorHAnsi" w:cstheme="minorBidi"/>
          <w:i/>
          <w:iCs/>
          <w:sz w:val="22"/>
          <w:szCs w:val="22"/>
        </w:rPr>
        <w:t>AI powered tool for Systematic Literature Reviews</w:t>
      </w:r>
      <w:r w:rsidRPr="141E890C">
        <w:rPr>
          <w:rFonts w:asciiTheme="minorHAnsi" w:hAnsiTheme="minorHAnsi" w:cstheme="minorBidi"/>
          <w:sz w:val="22"/>
          <w:szCs w:val="22"/>
        </w:rPr>
        <w:t xml:space="preserve"> (2023) </w:t>
      </w:r>
      <w:r w:rsidRPr="141E890C">
        <w:rPr>
          <w:rFonts w:asciiTheme="minorHAnsi" w:hAnsiTheme="minorHAnsi" w:cstheme="minorBidi"/>
          <w:i/>
          <w:iCs/>
          <w:sz w:val="22"/>
          <w:szCs w:val="22"/>
        </w:rPr>
        <w:t>Rayyan</w:t>
      </w:r>
      <w:r w:rsidRPr="141E890C">
        <w:rPr>
          <w:rFonts w:asciiTheme="minorHAnsi" w:hAnsiTheme="minorHAnsi" w:cstheme="minorBidi"/>
          <w:sz w:val="22"/>
          <w:szCs w:val="22"/>
        </w:rPr>
        <w:t xml:space="preserve">. Available at: https://www.rayyan.ai/ (Accessed: 09 August 2023). </w:t>
      </w:r>
    </w:p>
    <w:p w14:paraId="556DA588" w14:textId="77777777" w:rsidR="0007047F" w:rsidRPr="00F93B67" w:rsidRDefault="0007047F" w:rsidP="0066540A">
      <w:pPr>
        <w:pStyle w:val="NormalWeb"/>
        <w:rPr>
          <w:rFonts w:asciiTheme="minorHAnsi" w:hAnsiTheme="minorHAnsi" w:cstheme="minorHAnsi"/>
          <w:sz w:val="22"/>
          <w:szCs w:val="22"/>
        </w:rPr>
      </w:pPr>
      <w:r w:rsidRPr="00F93B67">
        <w:rPr>
          <w:rFonts w:asciiTheme="minorHAnsi" w:hAnsiTheme="minorHAnsi" w:cstheme="minorHAnsi"/>
          <w:sz w:val="22"/>
          <w:szCs w:val="22"/>
        </w:rPr>
        <w:t>[27] Critical Appraisal Skills Programme (2022). CASP Critical Appraisal Checklists. [online] Available at: https://casp-uk.net/casp-tools-checklists/. Accessed: 09 August 2023.</w:t>
      </w:r>
    </w:p>
    <w:p w14:paraId="6A74262C" w14:textId="77777777" w:rsidR="0007047F" w:rsidRPr="00F93B67" w:rsidRDefault="0007047F" w:rsidP="0066540A">
      <w:pPr>
        <w:pStyle w:val="NormalWeb"/>
        <w:rPr>
          <w:rFonts w:asciiTheme="minorHAnsi" w:hAnsiTheme="minorHAnsi" w:cstheme="minorHAnsi"/>
          <w:sz w:val="22"/>
          <w:szCs w:val="22"/>
        </w:rPr>
      </w:pPr>
      <w:r w:rsidRPr="00F93B67">
        <w:rPr>
          <w:rFonts w:asciiTheme="minorHAnsi" w:hAnsiTheme="minorHAnsi" w:cstheme="minorHAnsi"/>
          <w:sz w:val="22"/>
          <w:szCs w:val="22"/>
        </w:rPr>
        <w:t>[28] Bushnell, C.D., Zimmer, L.O., Pan, W., Olson, D.M., Zhao, X., Meteleva, T., Schwamm, L., Ovbiagele, B., Williams, L., LaBresh, K.A., Peterson, E.D. &amp; Adherence Evaluation After Ischemic Stroke–Longitudinal Investigators 2010, "Persistence With Stroke Prevention Medications 3 Months After Hospitalization", Archives of neurology (Chicago), vol. 67, no. 12, pp. 1456-1463.</w:t>
      </w:r>
    </w:p>
    <w:p w14:paraId="04E9690A" w14:textId="77777777" w:rsidR="0007047F" w:rsidRPr="00F93B67" w:rsidRDefault="0007047F" w:rsidP="0066540A">
      <w:pPr>
        <w:pStyle w:val="NormalWeb"/>
        <w:rPr>
          <w:rFonts w:asciiTheme="minorHAnsi" w:hAnsiTheme="minorHAnsi" w:cstheme="minorHAnsi"/>
          <w:sz w:val="22"/>
          <w:szCs w:val="22"/>
        </w:rPr>
      </w:pPr>
      <w:r w:rsidRPr="00F93B67">
        <w:rPr>
          <w:rFonts w:asciiTheme="minorHAnsi" w:hAnsiTheme="minorHAnsi" w:cstheme="minorHAnsi"/>
          <w:sz w:val="22"/>
          <w:szCs w:val="22"/>
        </w:rPr>
        <w:lastRenderedPageBreak/>
        <w:t>[29] Coetzee, N., Andrewes, D., Khan, F., Hale, T., Jenkins, L., Lincoln, N. &amp; Disler, P. 2008, "Predicting Compliance With Treatment Following Stroke: A New Model of Adherence Following Rehabilitation", Brain impairment, vol. 9, no. 2, pp. 122-139.</w:t>
      </w:r>
    </w:p>
    <w:p w14:paraId="096F4C33" w14:textId="77777777" w:rsidR="0007047F" w:rsidRPr="00F93B67" w:rsidRDefault="0007047F" w:rsidP="0066540A">
      <w:pPr>
        <w:pStyle w:val="NormalWeb"/>
        <w:rPr>
          <w:rFonts w:asciiTheme="minorHAnsi" w:hAnsiTheme="minorHAnsi" w:cstheme="minorHAnsi"/>
          <w:sz w:val="22"/>
          <w:szCs w:val="22"/>
        </w:rPr>
      </w:pPr>
      <w:r w:rsidRPr="00F93B67">
        <w:rPr>
          <w:rFonts w:asciiTheme="minorHAnsi" w:hAnsiTheme="minorHAnsi" w:cstheme="minorHAnsi"/>
          <w:sz w:val="22"/>
          <w:szCs w:val="22"/>
        </w:rPr>
        <w:t>[30] Jamison J, Sutton S, Mant J, et al. Barriers and facilitators to adherence to secondary stroke prevention medications after stroke: analysis of survivors and caregivers views from an online stroke forum. BMJ Open 2017;7:e016814. doi:10.1136/ bmjopen-2017-016814</w:t>
      </w:r>
    </w:p>
    <w:p w14:paraId="0DCAF069" w14:textId="77777777" w:rsidR="0007047F" w:rsidRPr="00F93B67" w:rsidRDefault="0007047F" w:rsidP="0066540A">
      <w:pPr>
        <w:pStyle w:val="NormalWeb"/>
        <w:rPr>
          <w:rFonts w:asciiTheme="minorHAnsi" w:hAnsiTheme="minorHAnsi" w:cstheme="minorHAnsi"/>
          <w:sz w:val="22"/>
          <w:szCs w:val="22"/>
        </w:rPr>
      </w:pPr>
      <w:r w:rsidRPr="00F93B67">
        <w:rPr>
          <w:rFonts w:asciiTheme="minorHAnsi" w:hAnsiTheme="minorHAnsi" w:cstheme="minorHAnsi"/>
          <w:sz w:val="22"/>
          <w:szCs w:val="22"/>
        </w:rPr>
        <w:t>[31] Nichols M, Sarfo FS, Singh A, et al. Assessing Mobile Health Capacity and Task Shifting Strategies to Improve Hypertension Among Ghanaian Stroke Survivors. Am J Med Sci. 2017;354(6):573-580. doi:10.1016/j.amjms.2017.08.005</w:t>
      </w:r>
    </w:p>
    <w:p w14:paraId="3D75A23E" w14:textId="77777777" w:rsidR="0007047F" w:rsidRPr="00F93B67" w:rsidRDefault="0007047F" w:rsidP="0066540A">
      <w:pPr>
        <w:pStyle w:val="NormalWeb"/>
        <w:rPr>
          <w:rFonts w:asciiTheme="minorHAnsi" w:hAnsiTheme="minorHAnsi" w:cstheme="minorHAnsi"/>
          <w:sz w:val="22"/>
          <w:szCs w:val="22"/>
        </w:rPr>
      </w:pPr>
      <w:r w:rsidRPr="00F93B67">
        <w:rPr>
          <w:rFonts w:asciiTheme="minorHAnsi" w:hAnsiTheme="minorHAnsi" w:cstheme="minorHAnsi"/>
          <w:sz w:val="22"/>
          <w:szCs w:val="22"/>
        </w:rPr>
        <w:t>[32] Oyesanya, T.O., LeCroy, T., Sweatman, M., Hatch, D., Nyankori, L., Kang, Y., MacCaughelty, T., O’Pry, L. &amp; Johnson, S. 2020, "A Medication Management Intervention for Patients and Families with SCI and ABI", Western journal of nursing research, vol. 42, no. 12, pp. 1113-1128.</w:t>
      </w:r>
    </w:p>
    <w:p w14:paraId="64DE03E8" w14:textId="77777777" w:rsidR="0007047F" w:rsidRPr="00F93B67" w:rsidRDefault="0007047F" w:rsidP="0066540A">
      <w:pPr>
        <w:pStyle w:val="NormalWeb"/>
        <w:rPr>
          <w:rFonts w:asciiTheme="minorHAnsi" w:hAnsiTheme="minorHAnsi" w:cstheme="minorHAnsi"/>
          <w:sz w:val="22"/>
          <w:szCs w:val="22"/>
        </w:rPr>
      </w:pPr>
      <w:r w:rsidRPr="00F93B67">
        <w:rPr>
          <w:rFonts w:asciiTheme="minorHAnsi" w:hAnsiTheme="minorHAnsi" w:cstheme="minorHAnsi"/>
          <w:sz w:val="22"/>
          <w:szCs w:val="22"/>
        </w:rPr>
        <w:t>[33] Sumbul-Sekerci, B., Hanagasi, H.A., Bilgic, B., Tufekcioglu, Z., Gurvit, H. &amp; Emre, M. 2023, "Medication management and treatment adherence in Parkinson's disease patients with mild cognitive impairment", Acta neurologica Belgica, vol. 123, no. 3, pp. 823-829.</w:t>
      </w:r>
    </w:p>
    <w:p w14:paraId="3448BDE3" w14:textId="77777777" w:rsidR="0007047F" w:rsidRPr="00F93B67" w:rsidRDefault="0007047F" w:rsidP="0066540A">
      <w:pPr>
        <w:pStyle w:val="NormalWeb"/>
        <w:rPr>
          <w:rFonts w:asciiTheme="minorHAnsi" w:hAnsiTheme="minorHAnsi" w:cstheme="minorHAnsi"/>
          <w:sz w:val="22"/>
          <w:szCs w:val="22"/>
        </w:rPr>
      </w:pPr>
      <w:r w:rsidRPr="00F93B67">
        <w:rPr>
          <w:rFonts w:asciiTheme="minorHAnsi" w:hAnsiTheme="minorHAnsi" w:cstheme="minorHAnsi"/>
          <w:sz w:val="22"/>
          <w:szCs w:val="22"/>
        </w:rPr>
        <w:t>[34] M. Tellier, C. Auger, N. Bier, L. Demers (2020). Use of an electronic pillbox by older adults with mild Alzheimer’s disease: Impact on medication administration and adherence. Gerontechnology, 19(1), 66-76 https://doi.org/10.4017/gt.2020.19.1.007.00</w:t>
      </w:r>
    </w:p>
    <w:p w14:paraId="65A988CD" w14:textId="77777777" w:rsidR="0007047F" w:rsidRPr="00F93B67" w:rsidRDefault="0007047F" w:rsidP="0066540A">
      <w:pPr>
        <w:pStyle w:val="NormalWeb"/>
        <w:rPr>
          <w:rFonts w:asciiTheme="minorHAnsi" w:hAnsiTheme="minorHAnsi" w:cstheme="minorHAnsi"/>
          <w:sz w:val="22"/>
          <w:szCs w:val="22"/>
        </w:rPr>
      </w:pPr>
      <w:r w:rsidRPr="00F93B67">
        <w:rPr>
          <w:rFonts w:asciiTheme="minorHAnsi" w:hAnsiTheme="minorHAnsi" w:cstheme="minorHAnsi"/>
          <w:sz w:val="22"/>
          <w:szCs w:val="22"/>
        </w:rPr>
        <w:t>[35] Kim MJ, Song JY, Jang JW, Lee SY, Jhoo JH, Byeon GH, Kim Y. Improving Medication Adherence in Isolated Patients With Cognitive Impairment Using Automated Telephone Reminders. Dement Neurocogn Disord. 2022 Oct;21(4):117-125. doi: 10.12779/dnd.2022.21.4.117. Epub 2022 Oct 26. PMID: 36407287; PMCID: PMC9644062.</w:t>
      </w:r>
    </w:p>
    <w:p w14:paraId="33F20A6C" w14:textId="77777777" w:rsidR="0007047F" w:rsidRPr="00F93B67" w:rsidRDefault="0007047F" w:rsidP="0066540A">
      <w:pPr>
        <w:pStyle w:val="NormalWeb"/>
        <w:rPr>
          <w:rFonts w:asciiTheme="minorHAnsi" w:hAnsiTheme="minorHAnsi" w:cstheme="minorHAnsi"/>
          <w:sz w:val="22"/>
          <w:szCs w:val="22"/>
        </w:rPr>
      </w:pPr>
      <w:r w:rsidRPr="00F93B67">
        <w:rPr>
          <w:rFonts w:asciiTheme="minorHAnsi" w:hAnsiTheme="minorHAnsi" w:cstheme="minorHAnsi"/>
          <w:sz w:val="22"/>
          <w:szCs w:val="22"/>
        </w:rPr>
        <w:t>[36] Critical Appraisal Skills Programme (2022). How Do I Score My Answers When Using A CASP Checklist? [online] Available at: https://casp-uk.net/faqs/#:~:text=How%20do%20i%20score%20my,may%20be%20of%20poor%20quality. Accessed: 09 August 2023.</w:t>
      </w:r>
    </w:p>
    <w:p w14:paraId="6786A4ED" w14:textId="77777777" w:rsidR="0007047F" w:rsidRPr="00F93B67" w:rsidRDefault="0007047F" w:rsidP="0066540A">
      <w:pPr>
        <w:pStyle w:val="NormalWeb"/>
        <w:rPr>
          <w:rFonts w:asciiTheme="minorHAnsi" w:hAnsiTheme="minorHAnsi" w:cstheme="minorHAnsi"/>
          <w:sz w:val="22"/>
          <w:szCs w:val="22"/>
        </w:rPr>
      </w:pPr>
      <w:r w:rsidRPr="00F93B67">
        <w:rPr>
          <w:rFonts w:asciiTheme="minorHAnsi" w:hAnsiTheme="minorHAnsi" w:cstheme="minorHAnsi"/>
          <w:sz w:val="22"/>
          <w:szCs w:val="22"/>
        </w:rPr>
        <w:t>[37] Burkhart, P.V. &amp; Sabaté, E. 2003, "Adherence to long-term therapies: evidence for action", Journal of nursing scholarship, vol. 35, no. 3, pp. 207-207.</w:t>
      </w:r>
    </w:p>
    <w:p w14:paraId="3372142E" w14:textId="77777777" w:rsidR="0007047F" w:rsidRPr="00F93B67" w:rsidRDefault="0007047F" w:rsidP="0066540A">
      <w:pPr>
        <w:pStyle w:val="NormalWeb"/>
        <w:rPr>
          <w:rFonts w:asciiTheme="minorHAnsi" w:hAnsiTheme="minorHAnsi" w:cstheme="minorHAnsi"/>
          <w:color w:val="333333"/>
          <w:sz w:val="22"/>
          <w:szCs w:val="22"/>
          <w:shd w:val="clear" w:color="auto" w:fill="FFFFFF"/>
        </w:rPr>
      </w:pPr>
      <w:r w:rsidRPr="00F93B67">
        <w:rPr>
          <w:rFonts w:asciiTheme="minorHAnsi" w:hAnsiTheme="minorHAnsi" w:cstheme="minorHAnsi"/>
          <w:sz w:val="22"/>
          <w:szCs w:val="22"/>
        </w:rPr>
        <w:t xml:space="preserve">[38] </w:t>
      </w:r>
      <w:r w:rsidRPr="00F93B67">
        <w:rPr>
          <w:rFonts w:asciiTheme="minorHAnsi" w:hAnsiTheme="minorHAnsi" w:cstheme="minorHAnsi"/>
          <w:color w:val="333333"/>
          <w:sz w:val="22"/>
          <w:szCs w:val="22"/>
          <w:shd w:val="clear" w:color="auto" w:fill="FFFFFF"/>
        </w:rPr>
        <w:t>Kini V</w:t>
      </w:r>
      <w:r w:rsidRPr="00F93B67">
        <w:rPr>
          <w:rStyle w:val="al-author-delim"/>
          <w:rFonts w:asciiTheme="minorHAnsi" w:hAnsiTheme="minorHAnsi" w:cstheme="minorHAnsi"/>
          <w:color w:val="333333"/>
          <w:sz w:val="22"/>
          <w:szCs w:val="22"/>
          <w:shd w:val="clear" w:color="auto" w:fill="FFFFFF"/>
        </w:rPr>
        <w:t>, </w:t>
      </w:r>
      <w:r w:rsidRPr="00F93B67">
        <w:rPr>
          <w:rFonts w:asciiTheme="minorHAnsi" w:hAnsiTheme="minorHAnsi" w:cstheme="minorHAnsi"/>
          <w:color w:val="333333"/>
          <w:sz w:val="22"/>
          <w:szCs w:val="22"/>
          <w:shd w:val="clear" w:color="auto" w:fill="FFFFFF"/>
        </w:rPr>
        <w:t>Ho PM. Interventions to Improve Medication Adherence</w:t>
      </w:r>
      <w:r w:rsidRPr="00F93B67">
        <w:rPr>
          <w:rStyle w:val="colon-for-citation-subtitle"/>
          <w:rFonts w:asciiTheme="minorHAnsi" w:hAnsiTheme="minorHAnsi" w:cstheme="minorHAnsi"/>
          <w:color w:val="333333"/>
          <w:sz w:val="22"/>
          <w:szCs w:val="22"/>
          <w:shd w:val="clear" w:color="auto" w:fill="FFFFFF"/>
        </w:rPr>
        <w:t>: </w:t>
      </w:r>
      <w:r w:rsidRPr="00F93B67">
        <w:rPr>
          <w:rStyle w:val="Subtitle1"/>
          <w:rFonts w:asciiTheme="minorHAnsi" w:hAnsiTheme="minorHAnsi" w:cstheme="minorHAnsi"/>
          <w:color w:val="333333"/>
          <w:sz w:val="22"/>
          <w:szCs w:val="22"/>
          <w:shd w:val="clear" w:color="auto" w:fill="FFFFFF"/>
        </w:rPr>
        <w:t>A Review</w:t>
      </w:r>
      <w:r w:rsidRPr="00F93B67">
        <w:rPr>
          <w:rFonts w:asciiTheme="minorHAnsi" w:hAnsiTheme="minorHAnsi" w:cstheme="minorHAnsi"/>
          <w:color w:val="333333"/>
          <w:sz w:val="22"/>
          <w:szCs w:val="22"/>
          <w:shd w:val="clear" w:color="auto" w:fill="FFFFFF"/>
        </w:rPr>
        <w:t>. </w:t>
      </w:r>
      <w:r w:rsidRPr="00F93B67">
        <w:rPr>
          <w:rStyle w:val="Emphasis"/>
          <w:rFonts w:asciiTheme="minorHAnsi" w:hAnsiTheme="minorHAnsi" w:cstheme="minorHAnsi"/>
          <w:color w:val="333333"/>
          <w:sz w:val="22"/>
          <w:szCs w:val="22"/>
          <w:shd w:val="clear" w:color="auto" w:fill="FFFFFF"/>
        </w:rPr>
        <w:t>JAMA.</w:t>
      </w:r>
      <w:r w:rsidRPr="00F93B67">
        <w:rPr>
          <w:rFonts w:asciiTheme="minorHAnsi" w:hAnsiTheme="minorHAnsi" w:cstheme="minorHAnsi"/>
          <w:color w:val="333333"/>
          <w:sz w:val="22"/>
          <w:szCs w:val="22"/>
          <w:shd w:val="clear" w:color="auto" w:fill="FFFFFF"/>
        </w:rPr>
        <w:t> 2018;320(23):2461–2473. doi:10.1001/jama.2018.19271</w:t>
      </w:r>
    </w:p>
    <w:p w14:paraId="3A7CFAC2" w14:textId="77777777" w:rsidR="0007047F" w:rsidRPr="00F93B67" w:rsidRDefault="0007047F" w:rsidP="0066540A">
      <w:pPr>
        <w:pStyle w:val="NormalWeb"/>
        <w:rPr>
          <w:rFonts w:asciiTheme="minorHAnsi" w:hAnsiTheme="minorHAnsi" w:cstheme="minorHAnsi"/>
          <w:color w:val="333333"/>
          <w:sz w:val="22"/>
          <w:szCs w:val="22"/>
          <w:shd w:val="clear" w:color="auto" w:fill="FFFFFF"/>
        </w:rPr>
      </w:pPr>
      <w:r w:rsidRPr="00F93B67">
        <w:rPr>
          <w:rFonts w:asciiTheme="minorHAnsi" w:hAnsiTheme="minorHAnsi" w:cstheme="minorHAnsi"/>
          <w:color w:val="333333"/>
          <w:sz w:val="22"/>
          <w:szCs w:val="22"/>
          <w:shd w:val="clear" w:color="auto" w:fill="FFFFFF"/>
        </w:rPr>
        <w:t>[39] Laura J Anderson, Ph.D., M.P.H and others, A systematic overview of systematic reviews evaluating medication adherence interventions, American Journal of Health-System Pharmacy, Volume 77, Issue 2, 15 January 2020, Pages 138–147, https://doi.org/10.1093/ajhp/zxz284</w:t>
      </w:r>
    </w:p>
    <w:p w14:paraId="67ACBA58" w14:textId="77777777" w:rsidR="0007047F" w:rsidRDefault="0007047F" w:rsidP="0066540A">
      <w:pPr>
        <w:pStyle w:val="NormalWeb"/>
        <w:rPr>
          <w:rFonts w:asciiTheme="minorHAnsi" w:hAnsiTheme="minorHAnsi" w:cstheme="minorHAnsi"/>
          <w:color w:val="333333"/>
          <w:sz w:val="22"/>
          <w:szCs w:val="22"/>
          <w:shd w:val="clear" w:color="auto" w:fill="FFFFFF"/>
        </w:rPr>
      </w:pPr>
      <w:r w:rsidRPr="00F93B67">
        <w:rPr>
          <w:rFonts w:asciiTheme="minorHAnsi" w:hAnsiTheme="minorHAnsi" w:cstheme="minorHAnsi"/>
          <w:color w:val="333333"/>
          <w:sz w:val="22"/>
          <w:szCs w:val="22"/>
          <w:shd w:val="clear" w:color="auto" w:fill="FFFFFF"/>
        </w:rPr>
        <w:t>[40] Mason, S., Craig, D., O'Neill, S., Donnelly, M. &amp; Nugent, C. 2012, "Electronic reminding technology for cognitive impairment", British journal of nursing (Mark Allen Publishing), vol. 21, no. 14, pp. 855-861.</w:t>
      </w:r>
    </w:p>
    <w:p w14:paraId="72263F1C" w14:textId="5A32E5FD" w:rsidR="000749F4" w:rsidRDefault="000749F4" w:rsidP="0066540A">
      <w:pPr>
        <w:pStyle w:val="NormalWeb"/>
        <w:rPr>
          <w:rFonts w:asciiTheme="minorHAnsi" w:hAnsiTheme="minorHAnsi" w:cstheme="minorHAnsi"/>
          <w:color w:val="333333"/>
          <w:sz w:val="22"/>
          <w:szCs w:val="22"/>
          <w:shd w:val="clear" w:color="auto" w:fill="FFFFFF"/>
        </w:rPr>
      </w:pPr>
      <w:r>
        <w:rPr>
          <w:rFonts w:asciiTheme="minorHAnsi" w:hAnsiTheme="minorHAnsi" w:cstheme="minorHAnsi"/>
          <w:color w:val="333333"/>
          <w:sz w:val="22"/>
          <w:szCs w:val="22"/>
          <w:shd w:val="clear" w:color="auto" w:fill="FFFFFF"/>
        </w:rPr>
        <w:t xml:space="preserve">[41] </w:t>
      </w:r>
      <w:r w:rsidRPr="000749F4">
        <w:rPr>
          <w:rFonts w:asciiTheme="minorHAnsi" w:hAnsiTheme="minorHAnsi" w:cstheme="minorHAnsi"/>
          <w:color w:val="333333"/>
          <w:sz w:val="22"/>
          <w:szCs w:val="22"/>
          <w:shd w:val="clear" w:color="auto" w:fill="FFFFFF"/>
        </w:rPr>
        <w:t>The 2011 Skills for Life Survey: a Survey of Literacy, Numeracy, and ICT Levels in England</w:t>
      </w:r>
      <w:r>
        <w:rPr>
          <w:rFonts w:asciiTheme="minorHAnsi" w:hAnsiTheme="minorHAnsi" w:cstheme="minorHAnsi"/>
          <w:color w:val="333333"/>
          <w:sz w:val="22"/>
          <w:szCs w:val="22"/>
          <w:shd w:val="clear" w:color="auto" w:fill="FFFFFF"/>
        </w:rPr>
        <w:t xml:space="preserve">. </w:t>
      </w:r>
      <w:r w:rsidRPr="000749F4">
        <w:rPr>
          <w:rFonts w:asciiTheme="minorHAnsi" w:hAnsiTheme="minorHAnsi" w:cstheme="minorHAnsi"/>
          <w:color w:val="333333"/>
          <w:sz w:val="22"/>
          <w:szCs w:val="22"/>
          <w:shd w:val="clear" w:color="auto" w:fill="FFFFFF"/>
        </w:rPr>
        <w:t>Department for Business, Innovation and Skills</w:t>
      </w:r>
      <w:r>
        <w:rPr>
          <w:rFonts w:asciiTheme="minorHAnsi" w:hAnsiTheme="minorHAnsi" w:cstheme="minorHAnsi"/>
          <w:color w:val="333333"/>
          <w:sz w:val="22"/>
          <w:szCs w:val="22"/>
          <w:shd w:val="clear" w:color="auto" w:fill="FFFFFF"/>
        </w:rPr>
        <w:t xml:space="preserve">; </w:t>
      </w:r>
      <w:r w:rsidRPr="000749F4">
        <w:rPr>
          <w:rFonts w:asciiTheme="minorHAnsi" w:hAnsiTheme="minorHAnsi" w:cstheme="minorHAnsi"/>
          <w:color w:val="333333"/>
          <w:sz w:val="22"/>
          <w:szCs w:val="22"/>
          <w:shd w:val="clear" w:color="auto" w:fill="FFFFFF"/>
        </w:rPr>
        <w:t>London</w:t>
      </w:r>
      <w:r>
        <w:rPr>
          <w:rFonts w:asciiTheme="minorHAnsi" w:hAnsiTheme="minorHAnsi" w:cstheme="minorHAnsi"/>
          <w:color w:val="333333"/>
          <w:sz w:val="22"/>
          <w:szCs w:val="22"/>
          <w:shd w:val="clear" w:color="auto" w:fill="FFFFFF"/>
        </w:rPr>
        <w:t>, UK</w:t>
      </w:r>
      <w:r w:rsidRPr="000749F4">
        <w:rPr>
          <w:rFonts w:asciiTheme="minorHAnsi" w:hAnsiTheme="minorHAnsi" w:cstheme="minorHAnsi"/>
          <w:color w:val="333333"/>
          <w:sz w:val="22"/>
          <w:szCs w:val="22"/>
          <w:shd w:val="clear" w:color="auto" w:fill="FFFFFF"/>
        </w:rPr>
        <w:t>.</w:t>
      </w:r>
      <w:r>
        <w:rPr>
          <w:rFonts w:asciiTheme="minorHAnsi" w:hAnsiTheme="minorHAnsi" w:cstheme="minorHAnsi"/>
          <w:color w:val="333333"/>
          <w:sz w:val="22"/>
          <w:szCs w:val="22"/>
          <w:shd w:val="clear" w:color="auto" w:fill="FFFFFF"/>
        </w:rPr>
        <w:t xml:space="preserve"> 2012. </w:t>
      </w:r>
    </w:p>
    <w:p w14:paraId="1F28E137" w14:textId="69015655" w:rsidR="0070624E" w:rsidRDefault="0070624E" w:rsidP="0066540A">
      <w:pPr>
        <w:pStyle w:val="NormalWeb"/>
        <w:rPr>
          <w:rFonts w:asciiTheme="minorHAnsi" w:hAnsiTheme="minorHAnsi" w:cstheme="minorHAnsi"/>
          <w:color w:val="333333"/>
          <w:sz w:val="22"/>
          <w:szCs w:val="22"/>
          <w:shd w:val="clear" w:color="auto" w:fill="FFFFFF"/>
        </w:rPr>
      </w:pPr>
      <w:r>
        <w:rPr>
          <w:rFonts w:asciiTheme="minorHAnsi" w:hAnsiTheme="minorHAnsi" w:cstheme="minorHAnsi"/>
          <w:color w:val="333333"/>
          <w:sz w:val="22"/>
          <w:szCs w:val="22"/>
          <w:shd w:val="clear" w:color="auto" w:fill="FFFFFF"/>
        </w:rPr>
        <w:lastRenderedPageBreak/>
        <w:t xml:space="preserve">[42] </w:t>
      </w:r>
      <w:r w:rsidRPr="0070624E">
        <w:rPr>
          <w:rFonts w:asciiTheme="minorHAnsi" w:hAnsiTheme="minorHAnsi" w:cstheme="minorHAnsi"/>
          <w:color w:val="333333"/>
          <w:sz w:val="22"/>
          <w:szCs w:val="22"/>
          <w:shd w:val="clear" w:color="auto" w:fill="FFFFFF"/>
        </w:rPr>
        <w:t xml:space="preserve">Li T, Higgins JPT, Deeks JJ (editors). Chapter 5: Collecting data. In: Higgins JPT, Thomas J, Chandler J, Cumpston M, Li T, Page MJ, Welch VA (editors). Cochrane Handbook for Systematic Reviews of Interventions version 6.4 (updated August 2023). Cochrane, 2023. Available from </w:t>
      </w:r>
      <w:hyperlink r:id="rId13" w:history="1">
        <w:r w:rsidR="00B6678A" w:rsidRPr="0062303C">
          <w:rPr>
            <w:rStyle w:val="Hyperlink"/>
            <w:rFonts w:asciiTheme="minorHAnsi" w:hAnsiTheme="minorHAnsi" w:cstheme="minorHAnsi"/>
            <w:sz w:val="22"/>
            <w:szCs w:val="22"/>
            <w:shd w:val="clear" w:color="auto" w:fill="FFFFFF"/>
          </w:rPr>
          <w:t>www.training.cochrane.org/handbook</w:t>
        </w:r>
      </w:hyperlink>
      <w:r w:rsidRPr="0070624E">
        <w:rPr>
          <w:rFonts w:asciiTheme="minorHAnsi" w:hAnsiTheme="minorHAnsi" w:cstheme="minorHAnsi"/>
          <w:color w:val="333333"/>
          <w:sz w:val="22"/>
          <w:szCs w:val="22"/>
          <w:shd w:val="clear" w:color="auto" w:fill="FFFFFF"/>
        </w:rPr>
        <w:t>.</w:t>
      </w:r>
    </w:p>
    <w:p w14:paraId="44C92514" w14:textId="23C0A401" w:rsidR="00B6678A" w:rsidRDefault="00B6678A" w:rsidP="0066540A">
      <w:pPr>
        <w:pStyle w:val="NormalWeb"/>
        <w:rPr>
          <w:rFonts w:asciiTheme="minorHAnsi" w:hAnsiTheme="minorHAnsi" w:cstheme="minorHAnsi"/>
          <w:color w:val="333333"/>
          <w:sz w:val="22"/>
          <w:szCs w:val="22"/>
          <w:shd w:val="clear" w:color="auto" w:fill="FFFFFF"/>
        </w:rPr>
      </w:pPr>
      <w:r>
        <w:rPr>
          <w:rFonts w:asciiTheme="minorHAnsi" w:hAnsiTheme="minorHAnsi" w:cstheme="minorHAnsi"/>
          <w:color w:val="333333"/>
          <w:sz w:val="22"/>
          <w:szCs w:val="22"/>
          <w:shd w:val="clear" w:color="auto" w:fill="FFFFFF"/>
        </w:rPr>
        <w:t xml:space="preserve">[43] </w:t>
      </w:r>
      <w:r w:rsidRPr="00B6678A">
        <w:rPr>
          <w:rFonts w:asciiTheme="minorHAnsi" w:hAnsiTheme="minorHAnsi" w:cstheme="minorHAnsi"/>
          <w:color w:val="333333"/>
          <w:sz w:val="22"/>
          <w:szCs w:val="22"/>
          <w:shd w:val="clear" w:color="auto" w:fill="FFFFFF"/>
        </w:rPr>
        <w:t>Prior S, Miller A, Campbell S, Linegar K, Peterson G. The Challenges of Including Patients With Aphasia in Qualitative Research for Health Service Redesign: Qualitative Interview Study. J Particip Med. 2020;12(1):e12336. Published 2020 Feb 7. doi:10.2196/12336</w:t>
      </w:r>
    </w:p>
    <w:p w14:paraId="47DC8BC3" w14:textId="6A5F2E8B" w:rsidR="003D46DC" w:rsidRDefault="003D46DC" w:rsidP="0066540A">
      <w:pPr>
        <w:pStyle w:val="NormalWeb"/>
        <w:rPr>
          <w:rFonts w:asciiTheme="minorHAnsi" w:hAnsiTheme="minorHAnsi" w:cstheme="minorHAnsi"/>
          <w:color w:val="333333"/>
          <w:sz w:val="22"/>
          <w:szCs w:val="22"/>
          <w:shd w:val="clear" w:color="auto" w:fill="FFFFFF"/>
        </w:rPr>
      </w:pPr>
      <w:r>
        <w:rPr>
          <w:rFonts w:asciiTheme="minorHAnsi" w:hAnsiTheme="minorHAnsi" w:cstheme="minorHAnsi"/>
          <w:color w:val="333333"/>
          <w:sz w:val="22"/>
          <w:szCs w:val="22"/>
          <w:shd w:val="clear" w:color="auto" w:fill="FFFFFF"/>
        </w:rPr>
        <w:t xml:space="preserve">[44] </w:t>
      </w:r>
      <w:r w:rsidRPr="003D46DC">
        <w:rPr>
          <w:rFonts w:asciiTheme="minorHAnsi" w:hAnsiTheme="minorHAnsi" w:cstheme="minorHAnsi"/>
          <w:color w:val="333333"/>
          <w:sz w:val="22"/>
          <w:szCs w:val="22"/>
          <w:shd w:val="clear" w:color="auto" w:fill="FFFFFF"/>
        </w:rPr>
        <w:t>Nichol, L., Wallace, S.J., Pitt, R., Rodriguez, A.D., Diong, Z.Z. &amp; Hill, A.J. 2022, "People with aphasia share their views on self-management and the role of technology to support self-management of aphasia", Disability and rehabilitation, vol. 44, no. 24, pp. 7399-7412.</w:t>
      </w:r>
    </w:p>
    <w:p w14:paraId="34FABD16" w14:textId="2E2676D4" w:rsidR="00414896" w:rsidRPr="00414896" w:rsidRDefault="00414896" w:rsidP="00414896">
      <w:pPr>
        <w:pStyle w:val="NormalWeb"/>
        <w:rPr>
          <w:rFonts w:asciiTheme="minorHAnsi" w:hAnsiTheme="minorHAnsi" w:cstheme="minorHAnsi"/>
          <w:sz w:val="22"/>
          <w:szCs w:val="22"/>
        </w:rPr>
      </w:pPr>
      <w:r>
        <w:rPr>
          <w:rFonts w:asciiTheme="minorHAnsi" w:hAnsiTheme="minorHAnsi" w:cstheme="minorHAnsi"/>
          <w:sz w:val="22"/>
          <w:szCs w:val="22"/>
        </w:rPr>
        <w:t xml:space="preserve">[45] </w:t>
      </w:r>
      <w:r w:rsidRPr="00414896">
        <w:rPr>
          <w:rFonts w:asciiTheme="minorHAnsi" w:hAnsiTheme="minorHAnsi" w:cstheme="minorHAnsi"/>
          <w:sz w:val="22"/>
          <w:szCs w:val="22"/>
        </w:rPr>
        <w:t xml:space="preserve">Santo K, Kirkendall S, Laba TL et al. Interventions to improve medication adherence in coronary disease patients: a systematic review and meta-analysis of randomised controlled trials. Eur J Prev Cardiol. 2016; 23:1065-76. </w:t>
      </w:r>
    </w:p>
    <w:p w14:paraId="1234B5E2" w14:textId="3AFA3F87" w:rsidR="00414896" w:rsidRPr="00414896" w:rsidRDefault="00414896" w:rsidP="00414896">
      <w:pPr>
        <w:pStyle w:val="NormalWeb"/>
        <w:rPr>
          <w:rFonts w:asciiTheme="minorHAnsi" w:hAnsiTheme="minorHAnsi" w:cstheme="minorHAnsi"/>
          <w:sz w:val="22"/>
          <w:szCs w:val="22"/>
        </w:rPr>
      </w:pPr>
      <w:r>
        <w:rPr>
          <w:rFonts w:asciiTheme="minorHAnsi" w:hAnsiTheme="minorHAnsi" w:cstheme="minorHAnsi"/>
          <w:sz w:val="22"/>
          <w:szCs w:val="22"/>
        </w:rPr>
        <w:t xml:space="preserve">[46] </w:t>
      </w:r>
      <w:r w:rsidRPr="00414896">
        <w:rPr>
          <w:rFonts w:asciiTheme="minorHAnsi" w:hAnsiTheme="minorHAnsi" w:cstheme="minorHAnsi"/>
          <w:sz w:val="22"/>
          <w:szCs w:val="22"/>
        </w:rPr>
        <w:t xml:space="preserve">Vervloet M, Linn AJ, van Weert JC et al. The effectiveness of interventions using electronic reminders to improve adherence to chronic medication: a systematic review of the literature. J Am Med Inform Assoc. 2012; 19:696-704. </w:t>
      </w:r>
    </w:p>
    <w:p w14:paraId="7A7AFDF1" w14:textId="5D08128E" w:rsidR="008C3167" w:rsidRPr="00683ABA" w:rsidRDefault="00414896" w:rsidP="00683ABA">
      <w:pPr>
        <w:pStyle w:val="NormalWeb"/>
        <w:rPr>
          <w:rFonts w:asciiTheme="minorHAnsi" w:hAnsiTheme="minorHAnsi" w:cstheme="minorHAnsi"/>
          <w:sz w:val="22"/>
          <w:szCs w:val="22"/>
        </w:rPr>
        <w:sectPr w:rsidR="008C3167" w:rsidRPr="00683ABA">
          <w:pgSz w:w="11906" w:h="16838"/>
          <w:pgMar w:top="1440" w:right="1440" w:bottom="1440" w:left="1440" w:header="708" w:footer="708" w:gutter="0"/>
          <w:cols w:space="708"/>
          <w:docGrid w:linePitch="360"/>
        </w:sectPr>
      </w:pPr>
      <w:r>
        <w:rPr>
          <w:rFonts w:asciiTheme="minorHAnsi" w:hAnsiTheme="minorHAnsi" w:cstheme="minorHAnsi"/>
          <w:sz w:val="22"/>
          <w:szCs w:val="22"/>
        </w:rPr>
        <w:t xml:space="preserve">[47] </w:t>
      </w:r>
      <w:r w:rsidRPr="00414896">
        <w:rPr>
          <w:rFonts w:asciiTheme="minorHAnsi" w:hAnsiTheme="minorHAnsi" w:cstheme="minorHAnsi"/>
          <w:sz w:val="22"/>
          <w:szCs w:val="22"/>
        </w:rPr>
        <w:t>Tao D, Xie L, Wang T, Wang T. A meta-analysis of the use of electronic reminders for patient adherence to medication in chronic disease care. J Telemed Telecare. 2015; 21:3-13.</w:t>
      </w:r>
    </w:p>
    <w:p w14:paraId="33CC185C" w14:textId="77777777" w:rsidR="00B20C69" w:rsidRPr="00B20C69" w:rsidRDefault="00B20C69" w:rsidP="00111F70">
      <w:pPr>
        <w:rPr>
          <w:b/>
          <w:bCs/>
          <w:lang w:val="en-GB"/>
        </w:rPr>
      </w:pPr>
    </w:p>
    <w:sectPr w:rsidR="00B20C69" w:rsidRPr="00B20C69">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D33A0" w14:textId="77777777" w:rsidR="00243CEB" w:rsidRDefault="00243CEB" w:rsidP="007A1F9B">
      <w:pPr>
        <w:spacing w:after="0" w:line="240" w:lineRule="auto"/>
      </w:pPr>
      <w:r>
        <w:separator/>
      </w:r>
    </w:p>
  </w:endnote>
  <w:endnote w:type="continuationSeparator" w:id="0">
    <w:p w14:paraId="278CDC69" w14:textId="77777777" w:rsidR="00243CEB" w:rsidRDefault="00243CEB" w:rsidP="007A1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571386"/>
      <w:docPartObj>
        <w:docPartGallery w:val="Page Numbers (Bottom of Page)"/>
        <w:docPartUnique/>
      </w:docPartObj>
    </w:sdtPr>
    <w:sdtEndPr>
      <w:rPr>
        <w:noProof/>
      </w:rPr>
    </w:sdtEndPr>
    <w:sdtContent>
      <w:p w14:paraId="1C4DDB5F" w14:textId="0B4C1849" w:rsidR="007A1F9B" w:rsidRDefault="007A1F9B">
        <w:pPr>
          <w:pStyle w:val="Footer"/>
        </w:pPr>
        <w:r>
          <w:fldChar w:fldCharType="begin"/>
        </w:r>
        <w:r>
          <w:instrText xml:space="preserve"> PAGE   \* MERGEFORMAT </w:instrText>
        </w:r>
        <w:r>
          <w:fldChar w:fldCharType="separate"/>
        </w:r>
        <w:r>
          <w:rPr>
            <w:noProof/>
          </w:rPr>
          <w:t>2</w:t>
        </w:r>
        <w:r>
          <w:rPr>
            <w:noProof/>
          </w:rPr>
          <w:fldChar w:fldCharType="end"/>
        </w:r>
      </w:p>
    </w:sdtContent>
  </w:sdt>
  <w:p w14:paraId="0DC024AD" w14:textId="77777777" w:rsidR="007A1F9B" w:rsidRDefault="007A1F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553D8" w14:textId="77777777" w:rsidR="00215A06" w:rsidRDefault="00215A06">
    <w:pPr>
      <w:spacing w:after="0"/>
      <w:ind w:right="-522"/>
      <w:jc w:val="right"/>
    </w:pPr>
    <w:r>
      <w:rPr>
        <w:noProof/>
      </w:rPr>
      <mc:AlternateContent>
        <mc:Choice Requires="wpg">
          <w:drawing>
            <wp:anchor distT="0" distB="0" distL="114300" distR="114300" simplePos="0" relativeHeight="251661312" behindDoc="0" locked="0" layoutInCell="1" allowOverlap="1" wp14:anchorId="2613EC15" wp14:editId="6554B3C0">
              <wp:simplePos x="0" y="0"/>
              <wp:positionH relativeFrom="page">
                <wp:posOffset>0</wp:posOffset>
              </wp:positionH>
              <wp:positionV relativeFrom="page">
                <wp:posOffset>9943782</wp:posOffset>
              </wp:positionV>
              <wp:extent cx="7556500" cy="73025"/>
              <wp:effectExtent l="0" t="0" r="0" b="0"/>
              <wp:wrapSquare wrapText="bothSides"/>
              <wp:docPr id="9759" name="Group 9759"/>
              <wp:cNvGraphicFramePr/>
              <a:graphic xmlns:a="http://schemas.openxmlformats.org/drawingml/2006/main">
                <a:graphicData uri="http://schemas.microsoft.com/office/word/2010/wordprocessingGroup">
                  <wpg:wgp>
                    <wpg:cNvGrpSpPr/>
                    <wpg:grpSpPr>
                      <a:xfrm>
                        <a:off x="0" y="0"/>
                        <a:ext cx="7556500" cy="73025"/>
                        <a:chOff x="0" y="0"/>
                        <a:chExt cx="7556500" cy="73025"/>
                      </a:xfrm>
                    </wpg:grpSpPr>
                    <wps:wsp>
                      <wps:cNvPr id="10101" name="Shape 10101"/>
                      <wps:cNvSpPr/>
                      <wps:spPr>
                        <a:xfrm>
                          <a:off x="0" y="0"/>
                          <a:ext cx="2849245" cy="73025"/>
                        </a:xfrm>
                        <a:custGeom>
                          <a:avLst/>
                          <a:gdLst/>
                          <a:ahLst/>
                          <a:cxnLst/>
                          <a:rect l="0" t="0" r="0" b="0"/>
                          <a:pathLst>
                            <a:path w="2849245" h="73025">
                              <a:moveTo>
                                <a:pt x="0" y="0"/>
                              </a:moveTo>
                              <a:lnTo>
                                <a:pt x="2849245" y="0"/>
                              </a:lnTo>
                              <a:lnTo>
                                <a:pt x="2849245" y="73025"/>
                              </a:lnTo>
                              <a:lnTo>
                                <a:pt x="0" y="73025"/>
                              </a:lnTo>
                              <a:lnTo>
                                <a:pt x="0" y="0"/>
                              </a:lnTo>
                            </a:path>
                          </a:pathLst>
                        </a:custGeom>
                        <a:ln w="0" cap="flat">
                          <a:miter lim="127000"/>
                        </a:ln>
                      </wps:spPr>
                      <wps:style>
                        <a:lnRef idx="0">
                          <a:srgbClr val="000000">
                            <a:alpha val="0"/>
                          </a:srgbClr>
                        </a:lnRef>
                        <a:fillRef idx="1">
                          <a:srgbClr val="FFBA52"/>
                        </a:fillRef>
                        <a:effectRef idx="0">
                          <a:scrgbClr r="0" g="0" b="0"/>
                        </a:effectRef>
                        <a:fontRef idx="none"/>
                      </wps:style>
                      <wps:bodyPr/>
                    </wps:wsp>
                    <wps:wsp>
                      <wps:cNvPr id="10102" name="Shape 10102"/>
                      <wps:cNvSpPr/>
                      <wps:spPr>
                        <a:xfrm>
                          <a:off x="47625" y="0"/>
                          <a:ext cx="2728595" cy="73025"/>
                        </a:xfrm>
                        <a:custGeom>
                          <a:avLst/>
                          <a:gdLst/>
                          <a:ahLst/>
                          <a:cxnLst/>
                          <a:rect l="0" t="0" r="0" b="0"/>
                          <a:pathLst>
                            <a:path w="2728595" h="73025">
                              <a:moveTo>
                                <a:pt x="0" y="0"/>
                              </a:moveTo>
                              <a:lnTo>
                                <a:pt x="2728595" y="0"/>
                              </a:lnTo>
                              <a:lnTo>
                                <a:pt x="2728595" y="73025"/>
                              </a:lnTo>
                              <a:lnTo>
                                <a:pt x="0" y="73025"/>
                              </a:lnTo>
                              <a:lnTo>
                                <a:pt x="0" y="0"/>
                              </a:lnTo>
                            </a:path>
                          </a:pathLst>
                        </a:custGeom>
                        <a:ln w="0" cap="flat">
                          <a:miter lim="127000"/>
                        </a:ln>
                      </wps:spPr>
                      <wps:style>
                        <a:lnRef idx="0">
                          <a:srgbClr val="000000">
                            <a:alpha val="0"/>
                          </a:srgbClr>
                        </a:lnRef>
                        <a:fillRef idx="1">
                          <a:srgbClr val="FFBA52"/>
                        </a:fillRef>
                        <a:effectRef idx="0">
                          <a:scrgbClr r="0" g="0" b="0"/>
                        </a:effectRef>
                        <a:fontRef idx="none"/>
                      </wps:style>
                      <wps:bodyPr/>
                    </wps:wsp>
                    <wps:wsp>
                      <wps:cNvPr id="10103" name="Shape 10103"/>
                      <wps:cNvSpPr/>
                      <wps:spPr>
                        <a:xfrm>
                          <a:off x="2849245" y="0"/>
                          <a:ext cx="4707255" cy="73025"/>
                        </a:xfrm>
                        <a:custGeom>
                          <a:avLst/>
                          <a:gdLst/>
                          <a:ahLst/>
                          <a:cxnLst/>
                          <a:rect l="0" t="0" r="0" b="0"/>
                          <a:pathLst>
                            <a:path w="4707255" h="73025">
                              <a:moveTo>
                                <a:pt x="0" y="0"/>
                              </a:moveTo>
                              <a:lnTo>
                                <a:pt x="4707255" y="0"/>
                              </a:lnTo>
                              <a:lnTo>
                                <a:pt x="4707255" y="73025"/>
                              </a:lnTo>
                              <a:lnTo>
                                <a:pt x="0" y="73025"/>
                              </a:lnTo>
                              <a:lnTo>
                                <a:pt x="0" y="0"/>
                              </a:lnTo>
                            </a:path>
                          </a:pathLst>
                        </a:custGeom>
                        <a:ln w="0" cap="flat">
                          <a:miter lim="127000"/>
                        </a:ln>
                      </wps:spPr>
                      <wps:style>
                        <a:lnRef idx="0">
                          <a:srgbClr val="000000">
                            <a:alpha val="0"/>
                          </a:srgbClr>
                        </a:lnRef>
                        <a:fillRef idx="1">
                          <a:srgbClr val="FFBA52"/>
                        </a:fillRef>
                        <a:effectRef idx="0">
                          <a:scrgbClr r="0" g="0" b="0"/>
                        </a:effectRef>
                        <a:fontRef idx="none"/>
                      </wps:style>
                      <wps:bodyPr/>
                    </wps:wsp>
                    <wps:wsp>
                      <wps:cNvPr id="10104" name="Shape 10104"/>
                      <wps:cNvSpPr/>
                      <wps:spPr>
                        <a:xfrm>
                          <a:off x="2922270" y="0"/>
                          <a:ext cx="4589780" cy="73025"/>
                        </a:xfrm>
                        <a:custGeom>
                          <a:avLst/>
                          <a:gdLst/>
                          <a:ahLst/>
                          <a:cxnLst/>
                          <a:rect l="0" t="0" r="0" b="0"/>
                          <a:pathLst>
                            <a:path w="4589780" h="73025">
                              <a:moveTo>
                                <a:pt x="0" y="0"/>
                              </a:moveTo>
                              <a:lnTo>
                                <a:pt x="4589780" y="0"/>
                              </a:lnTo>
                              <a:lnTo>
                                <a:pt x="4589780" y="73025"/>
                              </a:lnTo>
                              <a:lnTo>
                                <a:pt x="0" y="73025"/>
                              </a:lnTo>
                              <a:lnTo>
                                <a:pt x="0" y="0"/>
                              </a:lnTo>
                            </a:path>
                          </a:pathLst>
                        </a:custGeom>
                        <a:ln w="0" cap="flat">
                          <a:miter lim="127000"/>
                        </a:ln>
                      </wps:spPr>
                      <wps:style>
                        <a:lnRef idx="0">
                          <a:srgbClr val="000000">
                            <a:alpha val="0"/>
                          </a:srgbClr>
                        </a:lnRef>
                        <a:fillRef idx="1">
                          <a:srgbClr val="FFBA52"/>
                        </a:fillRef>
                        <a:effectRef idx="0">
                          <a:scrgbClr r="0" g="0" b="0"/>
                        </a:effectRef>
                        <a:fontRef idx="none"/>
                      </wps:style>
                      <wps:bodyPr/>
                    </wps:wsp>
                  </wpg:wgp>
                </a:graphicData>
              </a:graphic>
            </wp:anchor>
          </w:drawing>
        </mc:Choice>
        <mc:Fallback>
          <w:pict>
            <v:group w14:anchorId="274F04CD" id="Group 9759" o:spid="_x0000_s1026" style="position:absolute;margin-left:0;margin-top:782.95pt;width:595pt;height:5.75pt;z-index:251661312;mso-position-horizontal-relative:page;mso-position-vertical-relative:page" coordsize="75565,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JeYIwMAABYRAAAOAAAAZHJzL2Uyb0RvYy54bWzsWFFvmzAQfp+0/4B4XyE0lAQlqbZ17cu0&#10;Vmv3A1xjAhJgy3ZD8u93PrBLk7Xpum6qpuQBDvvufPdx32FndrquK2/FpCp5M/dHR6HvsYbyrGyW&#10;c//HzfmHie8pTZqMVLxhc3/DlH+6eP9u1oqURbzgVcakB04albZi7hdaizQIFC1YTdQRF6yByZzL&#10;mmh4lMsgk6QF73UVRGF4ErRcZkJyypSC0bNu0l+g/zxnVF/muWLaq+Y+xKbxKvF6a67BYkbSpSSi&#10;KGkfBnlBFDUpG1jUuTojmnh3stxxVZdUcsVzfUR5HfA8LynDHCCbUbiVzYXkdwJzWabtUjiYANot&#10;nF7sln5bXUhxLa4kINGKJWCBTyaXdS5rc4covTVCtnGQsbX2KAwmcXwSh4AshbnkOIziDlJaAO47&#10;VrT48qRdYBcNHoTSCigOdZ+/+rP8rwsiGMKqUsj/SnplBrUL+I98ryE1lCmqeN0QAoOaDiaVKkDs&#10;uRhFk/E0GsdbGLlcSUrvlL5gHMEmq69Kd1WZWYkUVqLrxooSavvJqhZEGzsTpRG9du67SAr7ssxs&#10;zVfshqOe3nplEOT9bNUMtZwvWxSgazXsXaC/oaYrkUe1oZaGpbRHDxnsdEAwqS5mvYDpgzwEuGoM&#10;EqZiCfSbvCIaiVuXGhpRVdZQCVESQknDS0DHcDMF2L1xlPSmYgauqvnOcigeJIcZUHJ5+7mS3oqY&#10;doM/dE4qUZB+tPfbq/ZrgB9jn5dV5VyO0PSBy/PzTx/jqPfQKxs7hp3OWYadJe2j6dodNA1I2jY9&#10;yMwZ4cq80c6+gVaNiwyyNeItzzbYKBAQYKRpGf+ImtEuNREIEwCQeD81x8kJNCdTW33Xty0sSqJJ&#10;PH0T9LSRvAY9rS+bMNZyR+Ateg40D/Q80POJDcnjX87jXXoeGyifTc/hR2KLoOMkTKL4LRDURfIK&#10;BHW+9hJ0qHkg6IGgLyLoeJeg498j6DSKYGP0qy/oOJ5Mk4nZUm3t3OwJYrj/+qsbXBfJaxDUZrWf&#10;oAPNA0H/L4LiSRQO37hR7/8oMKf74TOeEO7/zlj8BAAA//8DAFBLAwQUAAYACAAAACEARCmDu+AA&#10;AAALAQAADwAAAGRycy9kb3ducmV2LnhtbEyPwU7DMBBE70j8g7VI3KgTIC0NcaqqAk5VJVokxG0b&#10;b5OosR3FbpL+PZsTHPfNaHYmW42mET11vnZWQTyLQJAtnK5tqeDr8P7wAsIHtBobZ0nBlTys8tub&#10;DFPtBvtJ/T6UgkOsT1FBFUKbSumLigz6mWvJsnZyncHAZ1dK3eHA4aaRj1E0lwZryx8qbGlTUXHe&#10;X4yCjwGH9VP81m/Pp83155DsvrcxKXV/N65fQQQaw58ZpvpcHXLudHQXq71oFPCQwDSZJ0sQkx4v&#10;I2bHiS0WzyDzTP7fkP8CAAD//wMAUEsBAi0AFAAGAAgAAAAhALaDOJL+AAAA4QEAABMAAAAAAAAA&#10;AAAAAAAAAAAAAFtDb250ZW50X1R5cGVzXS54bWxQSwECLQAUAAYACAAAACEAOP0h/9YAAACUAQAA&#10;CwAAAAAAAAAAAAAAAAAvAQAAX3JlbHMvLnJlbHNQSwECLQAUAAYACAAAACEAJFSXmCMDAAAWEQAA&#10;DgAAAAAAAAAAAAAAAAAuAgAAZHJzL2Uyb0RvYy54bWxQSwECLQAUAAYACAAAACEARCmDu+AAAAAL&#10;AQAADwAAAAAAAAAAAAAAAAB9BQAAZHJzL2Rvd25yZXYueG1sUEsFBgAAAAAEAAQA8wAAAIoGAAAA&#10;AA==&#10;">
              <v:shape id="Shape 10101" o:spid="_x0000_s1027" style="position:absolute;width:28492;height:730;visibility:visible;mso-wrap-style:square;v-text-anchor:top" coordsize="2849245,7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F4lwAAAAN4AAAAPAAAAZHJzL2Rvd25yZXYueG1sRE/LCsIw&#10;ELwL/kNYwYtoqgeRahQVBPVW9QOWZvugzaY0UatfbwRB5rLL7MzsrDadqcWDWldaVjCdRCCIU6tL&#10;zhXcrofxAoTzyBpry6TgRQ42635vhbG2T07ocfG5CCbsYlRQeN/EUrq0IINuYhviwGW2NejD2uZS&#10;t/gM5qaWsyiaS4Mlh4QCG9oXlFaXu1Hgd7pKKjc67LLqXd+T03nuzFmp4aDbLkF46vz/+Kc+6vB+&#10;FADfOmEGuf4AAAD//wMAUEsBAi0AFAAGAAgAAAAhANvh9svuAAAAhQEAABMAAAAAAAAAAAAAAAAA&#10;AAAAAFtDb250ZW50X1R5cGVzXS54bWxQSwECLQAUAAYACAAAACEAWvQsW78AAAAVAQAACwAAAAAA&#10;AAAAAAAAAAAfAQAAX3JlbHMvLnJlbHNQSwECLQAUAAYACAAAACEAuQheJcAAAADeAAAADwAAAAAA&#10;AAAAAAAAAAAHAgAAZHJzL2Rvd25yZXYueG1sUEsFBgAAAAADAAMAtwAAAPQCAAAAAA==&#10;" path="m,l2849245,r,73025l,73025,,e" fillcolor="#ffba52" stroked="f" strokeweight="0">
                <v:stroke miterlimit="83231f" joinstyle="miter"/>
                <v:path arrowok="t" textboxrect="0,0,2849245,73025"/>
              </v:shape>
              <v:shape id="Shape 10102" o:spid="_x0000_s1028" style="position:absolute;left:476;width:27286;height:730;visibility:visible;mso-wrap-style:square;v-text-anchor:top" coordsize="2728595,7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uhpwwAAAN4AAAAPAAAAZHJzL2Rvd25yZXYueG1sRE9Ni8Iw&#10;EL0L/ocwgjdN1GWp1Si6IMje1BWvYzO21WbSbbLa/fdGWNjbPN7nzJetrcSdGl861jAaKhDEmTMl&#10;5xq+DptBAsIHZIOVY9LwSx6Wi25njqlxD97RfR9yEUPYp6ihCKFOpfRZQRb90NXEkbu4xmKIsMml&#10;afARw20lx0q9S4slx4YCa/ooKLvtf6yGw3Sdv20rvztOrpLPn6dJknyz1v1eu5qBCNSGf/Gfe2vi&#10;fDVSY3i9E2+QiycAAAD//wMAUEsBAi0AFAAGAAgAAAAhANvh9svuAAAAhQEAABMAAAAAAAAAAAAA&#10;AAAAAAAAAFtDb250ZW50X1R5cGVzXS54bWxQSwECLQAUAAYACAAAACEAWvQsW78AAAAVAQAACwAA&#10;AAAAAAAAAAAAAAAfAQAAX3JlbHMvLnJlbHNQSwECLQAUAAYACAAAACEA/YroacMAAADeAAAADwAA&#10;AAAAAAAAAAAAAAAHAgAAZHJzL2Rvd25yZXYueG1sUEsFBgAAAAADAAMAtwAAAPcCAAAAAA==&#10;" path="m,l2728595,r,73025l,73025,,e" fillcolor="#ffba52" stroked="f" strokeweight="0">
                <v:stroke miterlimit="83231f" joinstyle="miter"/>
                <v:path arrowok="t" textboxrect="0,0,2728595,73025"/>
              </v:shape>
              <v:shape id="Shape 10103" o:spid="_x0000_s1029" style="position:absolute;left:28492;width:47073;height:730;visibility:visible;mso-wrap-style:square;v-text-anchor:top" coordsize="4707255,7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3LEwgAAAN4AAAAPAAAAZHJzL2Rvd25yZXYueG1sRE9NSwMx&#10;EL0L/Q9hBG82qYKWbdOyFJTizbVFj7Ob6WZxM1mS2MZ/bwTB2zze56y32Y3iTCEOnjUs5goEcefN&#10;wL2Gw9vT7RJETMgGR8+k4ZsibDezqzVWxl/4lc5N6kUJ4VihBpvSVEkZO0sO49xPxIU7+eAwFRh6&#10;aQJeSrgb5Z1SD9LhwKXB4kQ7S91n8+U05P1zej9+PNom13VqX9o2dzJofXOd6xWIRDn9i//ce1Pm&#10;q4W6h993yg1y8wMAAP//AwBQSwECLQAUAAYACAAAACEA2+H2y+4AAACFAQAAEwAAAAAAAAAAAAAA&#10;AAAAAAAAW0NvbnRlbnRfVHlwZXNdLnhtbFBLAQItABQABgAIAAAAIQBa9CxbvwAAABUBAAALAAAA&#10;AAAAAAAAAAAAAB8BAABfcmVscy8ucmVsc1BLAQItABQABgAIAAAAIQDhx3LEwgAAAN4AAAAPAAAA&#10;AAAAAAAAAAAAAAcCAABkcnMvZG93bnJldi54bWxQSwUGAAAAAAMAAwC3AAAA9gIAAAAA&#10;" path="m,l4707255,r,73025l,73025,,e" fillcolor="#ffba52" stroked="f" strokeweight="0">
                <v:stroke miterlimit="83231f" joinstyle="miter"/>
                <v:path arrowok="t" textboxrect="0,0,4707255,73025"/>
              </v:shape>
              <v:shape id="Shape 10104" o:spid="_x0000_s1030" style="position:absolute;left:29222;width:45898;height:730;visibility:visible;mso-wrap-style:square;v-text-anchor:top" coordsize="4589780,73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myWwwAAAN4AAAAPAAAAZHJzL2Rvd25yZXYueG1sRE9La8JA&#10;EL4L/odlBG911yKtpK4hCBZPhfjscchOk9TsbMiuJv333ULB23x8z1mlg23EnTpfO9YwnykQxIUz&#10;NZcajoft0xKED8gGG8ek4Yc8pOvxaIWJcT3ndN+HUsQQ9glqqEJoEyl9UZFFP3MtceS+XGcxRNiV&#10;0nTYx3DbyGelXqTFmmNDhS1tKiqu+5vVwIdz4V8Xm3dJ37u8zi/9x+cp03o6GbI3EIGG8BD/u3cm&#10;zldztYC/d+INcv0LAAD//wMAUEsBAi0AFAAGAAgAAAAhANvh9svuAAAAhQEAABMAAAAAAAAAAAAA&#10;AAAAAAAAAFtDb250ZW50X1R5cGVzXS54bWxQSwECLQAUAAYACAAAACEAWvQsW78AAAAVAQAACwAA&#10;AAAAAAAAAAAAAAAfAQAAX3JlbHMvLnJlbHNQSwECLQAUAAYACAAAACEAVrJslsMAAADeAAAADwAA&#10;AAAAAAAAAAAAAAAHAgAAZHJzL2Rvd25yZXYueG1sUEsFBgAAAAADAAMAtwAAAPcCAAAAAA==&#10;" path="m,l4589780,r,73025l,73025,,e" fillcolor="#ffba52" stroked="f" strokeweight="0">
                <v:stroke miterlimit="83231f" joinstyle="miter"/>
                <v:path arrowok="t" textboxrect="0,0,4589780,73025"/>
              </v:shape>
              <w10:wrap type="square" anchorx="page" anchory="page"/>
            </v:group>
          </w:pict>
        </mc:Fallback>
      </mc:AlternateContent>
    </w:r>
    <w:r>
      <w:fldChar w:fldCharType="begin"/>
    </w:r>
    <w:r>
      <w:instrText xml:space="preserve"> PAGE   \* MERGEFORMAT </w:instrText>
    </w:r>
    <w:r>
      <w:fldChar w:fldCharType="separate"/>
    </w:r>
    <w:r>
      <w:rPr>
        <w:rFonts w:ascii="Calibri" w:eastAsia="Calibri" w:hAnsi="Calibri" w:cs="Calibri"/>
      </w:rPr>
      <w:t>2</w:t>
    </w:r>
    <w:r>
      <w:fldChar w:fldCharType="end"/>
    </w: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C7234" w14:textId="0776E08C" w:rsidR="00215A06" w:rsidRDefault="00215A06">
    <w:pPr>
      <w:spacing w:after="0"/>
      <w:ind w:right="-522"/>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74503" w14:textId="77777777" w:rsidR="00215A06" w:rsidRDefault="00215A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46D4B" w14:textId="77777777" w:rsidR="00243CEB" w:rsidRDefault="00243CEB" w:rsidP="007A1F9B">
      <w:pPr>
        <w:spacing w:after="0" w:line="240" w:lineRule="auto"/>
      </w:pPr>
      <w:r>
        <w:separator/>
      </w:r>
    </w:p>
  </w:footnote>
  <w:footnote w:type="continuationSeparator" w:id="0">
    <w:p w14:paraId="7ADA7EA9" w14:textId="77777777" w:rsidR="00243CEB" w:rsidRDefault="00243CEB" w:rsidP="007A1F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3F8E6" w14:textId="77777777" w:rsidR="00215A06" w:rsidRDefault="00215A06">
    <w:pPr>
      <w:spacing w:after="0"/>
      <w:ind w:left="-1440" w:right="8193"/>
    </w:pPr>
    <w:r>
      <w:rPr>
        <w:noProof/>
      </w:rPr>
      <w:drawing>
        <wp:anchor distT="0" distB="0" distL="114300" distR="114300" simplePos="0" relativeHeight="251659264" behindDoc="0" locked="0" layoutInCell="1" allowOverlap="0" wp14:anchorId="233D8124" wp14:editId="0990157A">
          <wp:simplePos x="0" y="0"/>
          <wp:positionH relativeFrom="page">
            <wp:posOffset>381000</wp:posOffset>
          </wp:positionH>
          <wp:positionV relativeFrom="page">
            <wp:posOffset>455041</wp:posOffset>
          </wp:positionV>
          <wp:extent cx="1105535" cy="648970"/>
          <wp:effectExtent l="0" t="0" r="0" b="0"/>
          <wp:wrapSquare wrapText="bothSides"/>
          <wp:docPr id="138" name="Picture 138"/>
          <wp:cNvGraphicFramePr/>
          <a:graphic xmlns:a="http://schemas.openxmlformats.org/drawingml/2006/main">
            <a:graphicData uri="http://schemas.openxmlformats.org/drawingml/2006/picture">
              <pic:pic xmlns:pic="http://schemas.openxmlformats.org/drawingml/2006/picture">
                <pic:nvPicPr>
                  <pic:cNvPr id="138" name="Picture 138"/>
                  <pic:cNvPicPr/>
                </pic:nvPicPr>
                <pic:blipFill>
                  <a:blip r:embed="rId1"/>
                  <a:stretch>
                    <a:fillRect/>
                  </a:stretch>
                </pic:blipFill>
                <pic:spPr>
                  <a:xfrm>
                    <a:off x="0" y="0"/>
                    <a:ext cx="1105535" cy="6489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299EF" w14:textId="18F9354F" w:rsidR="00215A06" w:rsidRDefault="00215A06">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61D7F" w14:textId="77777777" w:rsidR="00215A06" w:rsidRDefault="00215A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10F3"/>
    <w:multiLevelType w:val="hybridMultilevel"/>
    <w:tmpl w:val="4740E95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3EA5DD6"/>
    <w:multiLevelType w:val="hybridMultilevel"/>
    <w:tmpl w:val="C4741B38"/>
    <w:lvl w:ilvl="0" w:tplc="2422B64C">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F819F8"/>
    <w:multiLevelType w:val="hybridMultilevel"/>
    <w:tmpl w:val="6DB890D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C82150A"/>
    <w:multiLevelType w:val="hybridMultilevel"/>
    <w:tmpl w:val="B330C5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EF500BB"/>
    <w:multiLevelType w:val="hybridMultilevel"/>
    <w:tmpl w:val="C3808D1E"/>
    <w:lvl w:ilvl="0" w:tplc="ACA6F144">
      <w:start w:val="1"/>
      <w:numFmt w:val="lowerRoman"/>
      <w:lvlText w:val="%1."/>
      <w:lvlJc w:val="left"/>
      <w:pPr>
        <w:ind w:left="1440" w:hanging="360"/>
      </w:pPr>
      <w:rPr>
        <w:rFonts w:hint="default"/>
        <w:b w:val="0"/>
        <w:bCs/>
      </w:rPr>
    </w:lvl>
    <w:lvl w:ilvl="1" w:tplc="21701C0E">
      <w:start w:val="1"/>
      <w:numFmt w:val="decimal"/>
      <w:lvlText w:val="%2)"/>
      <w:lvlJc w:val="left"/>
      <w:pPr>
        <w:ind w:left="2280" w:hanging="480"/>
      </w:pPr>
      <w:rPr>
        <w:rFonts w:hint="default"/>
      </w:r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5" w15:restartNumberingAfterBreak="0">
    <w:nsid w:val="11E52763"/>
    <w:multiLevelType w:val="hybridMultilevel"/>
    <w:tmpl w:val="7340C6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C863F6"/>
    <w:multiLevelType w:val="hybridMultilevel"/>
    <w:tmpl w:val="887CA86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99F1CE0"/>
    <w:multiLevelType w:val="hybridMultilevel"/>
    <w:tmpl w:val="707CCDC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20841B9"/>
    <w:multiLevelType w:val="hybridMultilevel"/>
    <w:tmpl w:val="59BC1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6207C7"/>
    <w:multiLevelType w:val="hybridMultilevel"/>
    <w:tmpl w:val="F3B2BA1E"/>
    <w:lvl w:ilvl="0" w:tplc="2422B64C">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A87F36"/>
    <w:multiLevelType w:val="multilevel"/>
    <w:tmpl w:val="51603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6A13982"/>
    <w:multiLevelType w:val="hybridMultilevel"/>
    <w:tmpl w:val="D2441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9F10F3"/>
    <w:multiLevelType w:val="hybridMultilevel"/>
    <w:tmpl w:val="FF0C36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B0C7836"/>
    <w:multiLevelType w:val="hybridMultilevel"/>
    <w:tmpl w:val="11BEF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B377AC5"/>
    <w:multiLevelType w:val="hybridMultilevel"/>
    <w:tmpl w:val="514AD4E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A085ADC"/>
    <w:multiLevelType w:val="hybridMultilevel"/>
    <w:tmpl w:val="015A183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5395408A"/>
    <w:multiLevelType w:val="hybridMultilevel"/>
    <w:tmpl w:val="4556525C"/>
    <w:lvl w:ilvl="0" w:tplc="DF101FF4">
      <w:start w:val="1"/>
      <w:numFmt w:val="lowerRoman"/>
      <w:lvlText w:val="%1."/>
      <w:lvlJc w:val="left"/>
      <w:pPr>
        <w:ind w:left="1440" w:hanging="360"/>
      </w:pPr>
      <w:rPr>
        <w:rFonts w:hint="default"/>
        <w:b w:val="0"/>
        <w:bCs/>
      </w:rPr>
    </w:lvl>
    <w:lvl w:ilvl="1" w:tplc="A0C4234E">
      <w:start w:val="1"/>
      <w:numFmt w:val="lowerRoman"/>
      <w:lvlText w:val="%2."/>
      <w:lvlJc w:val="left"/>
      <w:pPr>
        <w:ind w:left="2160" w:hanging="360"/>
      </w:pPr>
      <w:rPr>
        <w:rFonts w:hint="default"/>
        <w:b/>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5B3C66C5"/>
    <w:multiLevelType w:val="hybridMultilevel"/>
    <w:tmpl w:val="CE7029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74AA0154"/>
    <w:multiLevelType w:val="hybridMultilevel"/>
    <w:tmpl w:val="C7D6E7A0"/>
    <w:lvl w:ilvl="0" w:tplc="ABE63E5C">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9904855">
    <w:abstractNumId w:val="3"/>
  </w:num>
  <w:num w:numId="2" w16cid:durableId="1976255079">
    <w:abstractNumId w:val="10"/>
  </w:num>
  <w:num w:numId="3" w16cid:durableId="630866461">
    <w:abstractNumId w:val="4"/>
  </w:num>
  <w:num w:numId="4" w16cid:durableId="615677812">
    <w:abstractNumId w:val="16"/>
  </w:num>
  <w:num w:numId="5" w16cid:durableId="1242566100">
    <w:abstractNumId w:val="15"/>
  </w:num>
  <w:num w:numId="6" w16cid:durableId="732386809">
    <w:abstractNumId w:val="7"/>
  </w:num>
  <w:num w:numId="7" w16cid:durableId="162597435">
    <w:abstractNumId w:val="14"/>
  </w:num>
  <w:num w:numId="8" w16cid:durableId="725832209">
    <w:abstractNumId w:val="2"/>
  </w:num>
  <w:num w:numId="9" w16cid:durableId="1547988611">
    <w:abstractNumId w:val="5"/>
  </w:num>
  <w:num w:numId="10" w16cid:durableId="135609425">
    <w:abstractNumId w:val="0"/>
  </w:num>
  <w:num w:numId="11" w16cid:durableId="549418042">
    <w:abstractNumId w:val="12"/>
  </w:num>
  <w:num w:numId="12" w16cid:durableId="1636372791">
    <w:abstractNumId w:val="17"/>
  </w:num>
  <w:num w:numId="13" w16cid:durableId="1149976605">
    <w:abstractNumId w:val="9"/>
  </w:num>
  <w:num w:numId="14" w16cid:durableId="46996212">
    <w:abstractNumId w:val="1"/>
  </w:num>
  <w:num w:numId="15" w16cid:durableId="1062369588">
    <w:abstractNumId w:val="18"/>
  </w:num>
  <w:num w:numId="16" w16cid:durableId="458770336">
    <w:abstractNumId w:val="13"/>
  </w:num>
  <w:num w:numId="17" w16cid:durableId="1681157441">
    <w:abstractNumId w:val="11"/>
  </w:num>
  <w:num w:numId="18" w16cid:durableId="753087618">
    <w:abstractNumId w:val="8"/>
  </w:num>
  <w:num w:numId="19" w16cid:durableId="1691223742">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7"/>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A42"/>
    <w:rsid w:val="00000DA7"/>
    <w:rsid w:val="00001E23"/>
    <w:rsid w:val="0000344B"/>
    <w:rsid w:val="00012A64"/>
    <w:rsid w:val="000223D6"/>
    <w:rsid w:val="000232F4"/>
    <w:rsid w:val="00026F42"/>
    <w:rsid w:val="00027AE9"/>
    <w:rsid w:val="0003101E"/>
    <w:rsid w:val="00031168"/>
    <w:rsid w:val="0003566C"/>
    <w:rsid w:val="0003703B"/>
    <w:rsid w:val="000406F2"/>
    <w:rsid w:val="00041556"/>
    <w:rsid w:val="0004200E"/>
    <w:rsid w:val="000431A5"/>
    <w:rsid w:val="000475AC"/>
    <w:rsid w:val="00047D9B"/>
    <w:rsid w:val="00052328"/>
    <w:rsid w:val="0005733E"/>
    <w:rsid w:val="00057E41"/>
    <w:rsid w:val="0006130F"/>
    <w:rsid w:val="00061DBE"/>
    <w:rsid w:val="0007047F"/>
    <w:rsid w:val="000712A2"/>
    <w:rsid w:val="00073424"/>
    <w:rsid w:val="000749F4"/>
    <w:rsid w:val="000754DE"/>
    <w:rsid w:val="0008020E"/>
    <w:rsid w:val="000825A3"/>
    <w:rsid w:val="000837E8"/>
    <w:rsid w:val="00084DE8"/>
    <w:rsid w:val="000856E7"/>
    <w:rsid w:val="00085C3A"/>
    <w:rsid w:val="00086033"/>
    <w:rsid w:val="000860CF"/>
    <w:rsid w:val="00097242"/>
    <w:rsid w:val="000A002D"/>
    <w:rsid w:val="000A066D"/>
    <w:rsid w:val="000A16A2"/>
    <w:rsid w:val="000A3898"/>
    <w:rsid w:val="000A44AB"/>
    <w:rsid w:val="000A5060"/>
    <w:rsid w:val="000A5C0B"/>
    <w:rsid w:val="000A65F1"/>
    <w:rsid w:val="000A6697"/>
    <w:rsid w:val="000B08DB"/>
    <w:rsid w:val="000B1EBB"/>
    <w:rsid w:val="000B4988"/>
    <w:rsid w:val="000B5272"/>
    <w:rsid w:val="000B5FDE"/>
    <w:rsid w:val="000B6CA7"/>
    <w:rsid w:val="000B77D9"/>
    <w:rsid w:val="000C1352"/>
    <w:rsid w:val="000C509B"/>
    <w:rsid w:val="000C63E5"/>
    <w:rsid w:val="000C7DDE"/>
    <w:rsid w:val="000D323C"/>
    <w:rsid w:val="000D38D8"/>
    <w:rsid w:val="000E5A7F"/>
    <w:rsid w:val="000F264F"/>
    <w:rsid w:val="000F2FD1"/>
    <w:rsid w:val="000F554F"/>
    <w:rsid w:val="00102352"/>
    <w:rsid w:val="00103843"/>
    <w:rsid w:val="00105A42"/>
    <w:rsid w:val="00106E08"/>
    <w:rsid w:val="00110073"/>
    <w:rsid w:val="00111F70"/>
    <w:rsid w:val="00114A02"/>
    <w:rsid w:val="00116251"/>
    <w:rsid w:val="001208F7"/>
    <w:rsid w:val="00121380"/>
    <w:rsid w:val="00127DC2"/>
    <w:rsid w:val="00130242"/>
    <w:rsid w:val="0013068D"/>
    <w:rsid w:val="00130F2C"/>
    <w:rsid w:val="00140E09"/>
    <w:rsid w:val="001435D5"/>
    <w:rsid w:val="001471EC"/>
    <w:rsid w:val="001504CC"/>
    <w:rsid w:val="001504F3"/>
    <w:rsid w:val="00154906"/>
    <w:rsid w:val="00157F15"/>
    <w:rsid w:val="001635BE"/>
    <w:rsid w:val="00163822"/>
    <w:rsid w:val="001659D5"/>
    <w:rsid w:val="00170726"/>
    <w:rsid w:val="00172954"/>
    <w:rsid w:val="00173E5A"/>
    <w:rsid w:val="00174EF1"/>
    <w:rsid w:val="00175A60"/>
    <w:rsid w:val="001768C3"/>
    <w:rsid w:val="00177836"/>
    <w:rsid w:val="001804FC"/>
    <w:rsid w:val="00181828"/>
    <w:rsid w:val="001823E8"/>
    <w:rsid w:val="001838CB"/>
    <w:rsid w:val="00183B26"/>
    <w:rsid w:val="001844C6"/>
    <w:rsid w:val="00185A57"/>
    <w:rsid w:val="00185D8D"/>
    <w:rsid w:val="0018645A"/>
    <w:rsid w:val="00191FC0"/>
    <w:rsid w:val="001947F7"/>
    <w:rsid w:val="001A2B39"/>
    <w:rsid w:val="001A2E1A"/>
    <w:rsid w:val="001A66AD"/>
    <w:rsid w:val="001A6BA6"/>
    <w:rsid w:val="001B2847"/>
    <w:rsid w:val="001B2E84"/>
    <w:rsid w:val="001B33CB"/>
    <w:rsid w:val="001B60ED"/>
    <w:rsid w:val="001B7C4D"/>
    <w:rsid w:val="001C5F6B"/>
    <w:rsid w:val="001D0E28"/>
    <w:rsid w:val="001D12A9"/>
    <w:rsid w:val="001D1494"/>
    <w:rsid w:val="001D5C5A"/>
    <w:rsid w:val="001D75BE"/>
    <w:rsid w:val="001D79F2"/>
    <w:rsid w:val="001E1670"/>
    <w:rsid w:val="001E2BEB"/>
    <w:rsid w:val="001E391A"/>
    <w:rsid w:val="001F3363"/>
    <w:rsid w:val="001F3D69"/>
    <w:rsid w:val="001F5464"/>
    <w:rsid w:val="001F672C"/>
    <w:rsid w:val="00200BF2"/>
    <w:rsid w:val="00200E96"/>
    <w:rsid w:val="002018F6"/>
    <w:rsid w:val="00201FA4"/>
    <w:rsid w:val="002021CC"/>
    <w:rsid w:val="002027E1"/>
    <w:rsid w:val="00204D7D"/>
    <w:rsid w:val="002065C5"/>
    <w:rsid w:val="00206617"/>
    <w:rsid w:val="00207375"/>
    <w:rsid w:val="0021028B"/>
    <w:rsid w:val="002112DB"/>
    <w:rsid w:val="00214D7D"/>
    <w:rsid w:val="00215A06"/>
    <w:rsid w:val="0021630F"/>
    <w:rsid w:val="00217922"/>
    <w:rsid w:val="00224677"/>
    <w:rsid w:val="00227545"/>
    <w:rsid w:val="00231ED7"/>
    <w:rsid w:val="00232355"/>
    <w:rsid w:val="00237005"/>
    <w:rsid w:val="002403F1"/>
    <w:rsid w:val="002407E2"/>
    <w:rsid w:val="00243403"/>
    <w:rsid w:val="00243476"/>
    <w:rsid w:val="00243CEB"/>
    <w:rsid w:val="00246BE2"/>
    <w:rsid w:val="00253334"/>
    <w:rsid w:val="0025701F"/>
    <w:rsid w:val="002678B7"/>
    <w:rsid w:val="00267D45"/>
    <w:rsid w:val="002759C0"/>
    <w:rsid w:val="00281418"/>
    <w:rsid w:val="00281DE7"/>
    <w:rsid w:val="002822D6"/>
    <w:rsid w:val="002907D2"/>
    <w:rsid w:val="00292083"/>
    <w:rsid w:val="00293CC4"/>
    <w:rsid w:val="002947A9"/>
    <w:rsid w:val="00295557"/>
    <w:rsid w:val="002A02CD"/>
    <w:rsid w:val="002A5473"/>
    <w:rsid w:val="002A761C"/>
    <w:rsid w:val="002A7CCE"/>
    <w:rsid w:val="002B215A"/>
    <w:rsid w:val="002B23E9"/>
    <w:rsid w:val="002C234B"/>
    <w:rsid w:val="002E0D99"/>
    <w:rsid w:val="002F1472"/>
    <w:rsid w:val="002F21A8"/>
    <w:rsid w:val="002F296D"/>
    <w:rsid w:val="003030A1"/>
    <w:rsid w:val="00303526"/>
    <w:rsid w:val="00303F28"/>
    <w:rsid w:val="00304A2D"/>
    <w:rsid w:val="0030627E"/>
    <w:rsid w:val="00311C86"/>
    <w:rsid w:val="00315AD3"/>
    <w:rsid w:val="00316081"/>
    <w:rsid w:val="00316D4F"/>
    <w:rsid w:val="00317E25"/>
    <w:rsid w:val="00323B07"/>
    <w:rsid w:val="003241A9"/>
    <w:rsid w:val="00325DD2"/>
    <w:rsid w:val="00326C61"/>
    <w:rsid w:val="00330990"/>
    <w:rsid w:val="00331B8E"/>
    <w:rsid w:val="003362A3"/>
    <w:rsid w:val="00337046"/>
    <w:rsid w:val="003377C6"/>
    <w:rsid w:val="00337D1E"/>
    <w:rsid w:val="003474AC"/>
    <w:rsid w:val="00353B8E"/>
    <w:rsid w:val="003548AC"/>
    <w:rsid w:val="0036479D"/>
    <w:rsid w:val="00366E58"/>
    <w:rsid w:val="00370842"/>
    <w:rsid w:val="003767D7"/>
    <w:rsid w:val="0038004B"/>
    <w:rsid w:val="00382E8E"/>
    <w:rsid w:val="003844CB"/>
    <w:rsid w:val="0038470D"/>
    <w:rsid w:val="003869CD"/>
    <w:rsid w:val="00387448"/>
    <w:rsid w:val="00387526"/>
    <w:rsid w:val="00387E5C"/>
    <w:rsid w:val="003906E3"/>
    <w:rsid w:val="00391C6C"/>
    <w:rsid w:val="0039239E"/>
    <w:rsid w:val="0039772B"/>
    <w:rsid w:val="0039774A"/>
    <w:rsid w:val="003A0718"/>
    <w:rsid w:val="003A348D"/>
    <w:rsid w:val="003A40B0"/>
    <w:rsid w:val="003A4A5A"/>
    <w:rsid w:val="003A547B"/>
    <w:rsid w:val="003A7738"/>
    <w:rsid w:val="003B0467"/>
    <w:rsid w:val="003B1D43"/>
    <w:rsid w:val="003B2BBC"/>
    <w:rsid w:val="003B3A63"/>
    <w:rsid w:val="003B538A"/>
    <w:rsid w:val="003B5DB7"/>
    <w:rsid w:val="003B6172"/>
    <w:rsid w:val="003C4F8F"/>
    <w:rsid w:val="003C6420"/>
    <w:rsid w:val="003D46DC"/>
    <w:rsid w:val="003D724E"/>
    <w:rsid w:val="003D777A"/>
    <w:rsid w:val="003E1CB1"/>
    <w:rsid w:val="003E670F"/>
    <w:rsid w:val="003F12F1"/>
    <w:rsid w:val="003F4177"/>
    <w:rsid w:val="003F532D"/>
    <w:rsid w:val="00400E06"/>
    <w:rsid w:val="004033C4"/>
    <w:rsid w:val="00404D63"/>
    <w:rsid w:val="004068A6"/>
    <w:rsid w:val="00412ED1"/>
    <w:rsid w:val="0041406E"/>
    <w:rsid w:val="004145A2"/>
    <w:rsid w:val="00414896"/>
    <w:rsid w:val="00424BA1"/>
    <w:rsid w:val="00424E01"/>
    <w:rsid w:val="0042657C"/>
    <w:rsid w:val="00426D7F"/>
    <w:rsid w:val="004271AB"/>
    <w:rsid w:val="004305B8"/>
    <w:rsid w:val="00430ABD"/>
    <w:rsid w:val="004322CE"/>
    <w:rsid w:val="00432D6A"/>
    <w:rsid w:val="00437EF6"/>
    <w:rsid w:val="004416F2"/>
    <w:rsid w:val="004438FB"/>
    <w:rsid w:val="00443D44"/>
    <w:rsid w:val="00444214"/>
    <w:rsid w:val="00444C89"/>
    <w:rsid w:val="00446760"/>
    <w:rsid w:val="00447129"/>
    <w:rsid w:val="00447234"/>
    <w:rsid w:val="00452F4C"/>
    <w:rsid w:val="0045523B"/>
    <w:rsid w:val="00457F15"/>
    <w:rsid w:val="0046003D"/>
    <w:rsid w:val="00460FAE"/>
    <w:rsid w:val="004637F5"/>
    <w:rsid w:val="00464CDA"/>
    <w:rsid w:val="00466AA9"/>
    <w:rsid w:val="00472E86"/>
    <w:rsid w:val="00475B23"/>
    <w:rsid w:val="00475CB3"/>
    <w:rsid w:val="00485432"/>
    <w:rsid w:val="00485E45"/>
    <w:rsid w:val="00486248"/>
    <w:rsid w:val="00491713"/>
    <w:rsid w:val="00492744"/>
    <w:rsid w:val="00492DDB"/>
    <w:rsid w:val="00493329"/>
    <w:rsid w:val="004935B3"/>
    <w:rsid w:val="00495097"/>
    <w:rsid w:val="00497036"/>
    <w:rsid w:val="004B0F98"/>
    <w:rsid w:val="004B2909"/>
    <w:rsid w:val="004B38B7"/>
    <w:rsid w:val="004B5E73"/>
    <w:rsid w:val="004C0667"/>
    <w:rsid w:val="004C25BA"/>
    <w:rsid w:val="004C2F2E"/>
    <w:rsid w:val="004C4175"/>
    <w:rsid w:val="004C4D8E"/>
    <w:rsid w:val="004C54EE"/>
    <w:rsid w:val="004C5A4D"/>
    <w:rsid w:val="004C5C8C"/>
    <w:rsid w:val="004D2165"/>
    <w:rsid w:val="004D26E1"/>
    <w:rsid w:val="004D3BF9"/>
    <w:rsid w:val="004D6249"/>
    <w:rsid w:val="004D63DA"/>
    <w:rsid w:val="004D77E9"/>
    <w:rsid w:val="004E15BF"/>
    <w:rsid w:val="004E19AE"/>
    <w:rsid w:val="004F01BB"/>
    <w:rsid w:val="004F121E"/>
    <w:rsid w:val="004F5E9A"/>
    <w:rsid w:val="004F6CB9"/>
    <w:rsid w:val="004F78A8"/>
    <w:rsid w:val="0050059D"/>
    <w:rsid w:val="005017F0"/>
    <w:rsid w:val="00503C89"/>
    <w:rsid w:val="0050539D"/>
    <w:rsid w:val="005058AE"/>
    <w:rsid w:val="00506949"/>
    <w:rsid w:val="0051198F"/>
    <w:rsid w:val="00512F64"/>
    <w:rsid w:val="005153F5"/>
    <w:rsid w:val="00517D1F"/>
    <w:rsid w:val="00520B64"/>
    <w:rsid w:val="005219D8"/>
    <w:rsid w:val="005254A1"/>
    <w:rsid w:val="005264C3"/>
    <w:rsid w:val="005328D5"/>
    <w:rsid w:val="005336A3"/>
    <w:rsid w:val="00534D7F"/>
    <w:rsid w:val="005407F2"/>
    <w:rsid w:val="005421FC"/>
    <w:rsid w:val="00542416"/>
    <w:rsid w:val="005434C8"/>
    <w:rsid w:val="00544951"/>
    <w:rsid w:val="00544A42"/>
    <w:rsid w:val="00545AD7"/>
    <w:rsid w:val="0055117E"/>
    <w:rsid w:val="00556F82"/>
    <w:rsid w:val="00557020"/>
    <w:rsid w:val="005579DC"/>
    <w:rsid w:val="005601EE"/>
    <w:rsid w:val="00560786"/>
    <w:rsid w:val="00560C83"/>
    <w:rsid w:val="005639C6"/>
    <w:rsid w:val="00563C10"/>
    <w:rsid w:val="00564407"/>
    <w:rsid w:val="00575A92"/>
    <w:rsid w:val="00576CCF"/>
    <w:rsid w:val="00576D1E"/>
    <w:rsid w:val="00577954"/>
    <w:rsid w:val="005779C8"/>
    <w:rsid w:val="00581FDE"/>
    <w:rsid w:val="005840A2"/>
    <w:rsid w:val="00584BFC"/>
    <w:rsid w:val="0058657C"/>
    <w:rsid w:val="00586AB6"/>
    <w:rsid w:val="00586E26"/>
    <w:rsid w:val="005878A6"/>
    <w:rsid w:val="00594B8D"/>
    <w:rsid w:val="0059591B"/>
    <w:rsid w:val="005972D5"/>
    <w:rsid w:val="00597972"/>
    <w:rsid w:val="005A16B9"/>
    <w:rsid w:val="005A1F74"/>
    <w:rsid w:val="005A28BD"/>
    <w:rsid w:val="005A2B46"/>
    <w:rsid w:val="005A3596"/>
    <w:rsid w:val="005A64FC"/>
    <w:rsid w:val="005A7C23"/>
    <w:rsid w:val="005B7132"/>
    <w:rsid w:val="005B7958"/>
    <w:rsid w:val="005C1575"/>
    <w:rsid w:val="005C3D30"/>
    <w:rsid w:val="005C7461"/>
    <w:rsid w:val="005D2324"/>
    <w:rsid w:val="005D53F1"/>
    <w:rsid w:val="005E5DC9"/>
    <w:rsid w:val="005E5E19"/>
    <w:rsid w:val="005E64C4"/>
    <w:rsid w:val="005E77E2"/>
    <w:rsid w:val="005F1A71"/>
    <w:rsid w:val="005F61E5"/>
    <w:rsid w:val="005F6E96"/>
    <w:rsid w:val="005F7F10"/>
    <w:rsid w:val="006026EF"/>
    <w:rsid w:val="00605759"/>
    <w:rsid w:val="00606597"/>
    <w:rsid w:val="00607D09"/>
    <w:rsid w:val="00611738"/>
    <w:rsid w:val="00612EF2"/>
    <w:rsid w:val="00613F15"/>
    <w:rsid w:val="00617CAD"/>
    <w:rsid w:val="00624D55"/>
    <w:rsid w:val="006263E0"/>
    <w:rsid w:val="00633354"/>
    <w:rsid w:val="006339BC"/>
    <w:rsid w:val="00634E94"/>
    <w:rsid w:val="00641270"/>
    <w:rsid w:val="0065034A"/>
    <w:rsid w:val="00651558"/>
    <w:rsid w:val="0065466D"/>
    <w:rsid w:val="006546C7"/>
    <w:rsid w:val="00657406"/>
    <w:rsid w:val="006579D5"/>
    <w:rsid w:val="00660C6D"/>
    <w:rsid w:val="00664215"/>
    <w:rsid w:val="0066540A"/>
    <w:rsid w:val="006661C4"/>
    <w:rsid w:val="00666356"/>
    <w:rsid w:val="0066687A"/>
    <w:rsid w:val="00667EB7"/>
    <w:rsid w:val="00670271"/>
    <w:rsid w:val="006705C5"/>
    <w:rsid w:val="00670D87"/>
    <w:rsid w:val="00672C34"/>
    <w:rsid w:val="00676E56"/>
    <w:rsid w:val="00677C86"/>
    <w:rsid w:val="00679C51"/>
    <w:rsid w:val="006809CE"/>
    <w:rsid w:val="006812A3"/>
    <w:rsid w:val="006822FF"/>
    <w:rsid w:val="00682AFB"/>
    <w:rsid w:val="00683ABA"/>
    <w:rsid w:val="0068430D"/>
    <w:rsid w:val="00685485"/>
    <w:rsid w:val="006870B5"/>
    <w:rsid w:val="00687231"/>
    <w:rsid w:val="00691B45"/>
    <w:rsid w:val="0069433E"/>
    <w:rsid w:val="00694E12"/>
    <w:rsid w:val="006A20E6"/>
    <w:rsid w:val="006A2817"/>
    <w:rsid w:val="006B2AAE"/>
    <w:rsid w:val="006B4853"/>
    <w:rsid w:val="006B58CC"/>
    <w:rsid w:val="006B5D2D"/>
    <w:rsid w:val="006B6E3E"/>
    <w:rsid w:val="006C1FFB"/>
    <w:rsid w:val="006C217A"/>
    <w:rsid w:val="006C49BA"/>
    <w:rsid w:val="006C6A6C"/>
    <w:rsid w:val="006D07D1"/>
    <w:rsid w:val="006D2C1D"/>
    <w:rsid w:val="006D6B85"/>
    <w:rsid w:val="006E0147"/>
    <w:rsid w:val="006E0208"/>
    <w:rsid w:val="006E5165"/>
    <w:rsid w:val="006E546F"/>
    <w:rsid w:val="006E7749"/>
    <w:rsid w:val="006F0906"/>
    <w:rsid w:val="006F218E"/>
    <w:rsid w:val="006F4B2C"/>
    <w:rsid w:val="00701F1A"/>
    <w:rsid w:val="007053F5"/>
    <w:rsid w:val="0070624E"/>
    <w:rsid w:val="00710C93"/>
    <w:rsid w:val="00711596"/>
    <w:rsid w:val="00713C4C"/>
    <w:rsid w:val="007140C4"/>
    <w:rsid w:val="00714692"/>
    <w:rsid w:val="00716440"/>
    <w:rsid w:val="0071743F"/>
    <w:rsid w:val="00717D69"/>
    <w:rsid w:val="00717E0A"/>
    <w:rsid w:val="007213BD"/>
    <w:rsid w:val="007214BC"/>
    <w:rsid w:val="00722F74"/>
    <w:rsid w:val="0073364E"/>
    <w:rsid w:val="00734485"/>
    <w:rsid w:val="0073469E"/>
    <w:rsid w:val="00735D55"/>
    <w:rsid w:val="00741C9E"/>
    <w:rsid w:val="00742284"/>
    <w:rsid w:val="00742288"/>
    <w:rsid w:val="007435A1"/>
    <w:rsid w:val="00746F8D"/>
    <w:rsid w:val="00750547"/>
    <w:rsid w:val="00750A8A"/>
    <w:rsid w:val="0075315D"/>
    <w:rsid w:val="00757C7B"/>
    <w:rsid w:val="007605EA"/>
    <w:rsid w:val="00761F6E"/>
    <w:rsid w:val="0076601B"/>
    <w:rsid w:val="007677CB"/>
    <w:rsid w:val="00773516"/>
    <w:rsid w:val="00777A77"/>
    <w:rsid w:val="007838B5"/>
    <w:rsid w:val="0078479E"/>
    <w:rsid w:val="007853F5"/>
    <w:rsid w:val="007874C0"/>
    <w:rsid w:val="00790083"/>
    <w:rsid w:val="007906B9"/>
    <w:rsid w:val="00795219"/>
    <w:rsid w:val="0079698C"/>
    <w:rsid w:val="00797A97"/>
    <w:rsid w:val="007A0AA2"/>
    <w:rsid w:val="007A1F9B"/>
    <w:rsid w:val="007A51FC"/>
    <w:rsid w:val="007A5206"/>
    <w:rsid w:val="007A59F7"/>
    <w:rsid w:val="007B7DF0"/>
    <w:rsid w:val="007C09BF"/>
    <w:rsid w:val="007C28FC"/>
    <w:rsid w:val="007C47D3"/>
    <w:rsid w:val="007C7B8A"/>
    <w:rsid w:val="007D2FB2"/>
    <w:rsid w:val="007D36EE"/>
    <w:rsid w:val="007D5C49"/>
    <w:rsid w:val="007D6520"/>
    <w:rsid w:val="007D7B9E"/>
    <w:rsid w:val="007E1E5D"/>
    <w:rsid w:val="007F15CD"/>
    <w:rsid w:val="007F2565"/>
    <w:rsid w:val="007F3F5D"/>
    <w:rsid w:val="007F51F1"/>
    <w:rsid w:val="00801851"/>
    <w:rsid w:val="008030E0"/>
    <w:rsid w:val="008109F3"/>
    <w:rsid w:val="00812309"/>
    <w:rsid w:val="00813E5C"/>
    <w:rsid w:val="00814E7A"/>
    <w:rsid w:val="00816421"/>
    <w:rsid w:val="00820075"/>
    <w:rsid w:val="00823300"/>
    <w:rsid w:val="008258E4"/>
    <w:rsid w:val="008364B9"/>
    <w:rsid w:val="0084531C"/>
    <w:rsid w:val="0084741D"/>
    <w:rsid w:val="008501B5"/>
    <w:rsid w:val="00852C1F"/>
    <w:rsid w:val="0085749C"/>
    <w:rsid w:val="00863379"/>
    <w:rsid w:val="008676B6"/>
    <w:rsid w:val="00870B57"/>
    <w:rsid w:val="00872FE8"/>
    <w:rsid w:val="00876062"/>
    <w:rsid w:val="008803D4"/>
    <w:rsid w:val="008804B1"/>
    <w:rsid w:val="00884760"/>
    <w:rsid w:val="00885AFE"/>
    <w:rsid w:val="00892C80"/>
    <w:rsid w:val="0089363C"/>
    <w:rsid w:val="00896DC9"/>
    <w:rsid w:val="008A1363"/>
    <w:rsid w:val="008A7A61"/>
    <w:rsid w:val="008B77FF"/>
    <w:rsid w:val="008C0CFA"/>
    <w:rsid w:val="008C27EC"/>
    <w:rsid w:val="008C3167"/>
    <w:rsid w:val="008C401A"/>
    <w:rsid w:val="008C505E"/>
    <w:rsid w:val="008C74A0"/>
    <w:rsid w:val="008D1434"/>
    <w:rsid w:val="008D3660"/>
    <w:rsid w:val="008D593B"/>
    <w:rsid w:val="008E43A1"/>
    <w:rsid w:val="008E5081"/>
    <w:rsid w:val="008E7922"/>
    <w:rsid w:val="008F467A"/>
    <w:rsid w:val="008F5648"/>
    <w:rsid w:val="00901148"/>
    <w:rsid w:val="00902222"/>
    <w:rsid w:val="00903CDB"/>
    <w:rsid w:val="009054B5"/>
    <w:rsid w:val="00905C0B"/>
    <w:rsid w:val="009105CB"/>
    <w:rsid w:val="00910E0F"/>
    <w:rsid w:val="00914B7E"/>
    <w:rsid w:val="00914D26"/>
    <w:rsid w:val="0091766D"/>
    <w:rsid w:val="0092007A"/>
    <w:rsid w:val="00922843"/>
    <w:rsid w:val="00922AA0"/>
    <w:rsid w:val="00924B17"/>
    <w:rsid w:val="0092517D"/>
    <w:rsid w:val="0092709E"/>
    <w:rsid w:val="009315E7"/>
    <w:rsid w:val="0093186C"/>
    <w:rsid w:val="00932D9F"/>
    <w:rsid w:val="009347F4"/>
    <w:rsid w:val="0093542E"/>
    <w:rsid w:val="00935505"/>
    <w:rsid w:val="00935522"/>
    <w:rsid w:val="00936D66"/>
    <w:rsid w:val="00942BC1"/>
    <w:rsid w:val="00947546"/>
    <w:rsid w:val="00950110"/>
    <w:rsid w:val="0095087F"/>
    <w:rsid w:val="00955F17"/>
    <w:rsid w:val="00956667"/>
    <w:rsid w:val="00962128"/>
    <w:rsid w:val="009647C1"/>
    <w:rsid w:val="00967353"/>
    <w:rsid w:val="0096787B"/>
    <w:rsid w:val="00967D96"/>
    <w:rsid w:val="009756BA"/>
    <w:rsid w:val="009762FC"/>
    <w:rsid w:val="009808C1"/>
    <w:rsid w:val="00985440"/>
    <w:rsid w:val="00992D25"/>
    <w:rsid w:val="009968C4"/>
    <w:rsid w:val="009A19B5"/>
    <w:rsid w:val="009A3762"/>
    <w:rsid w:val="009A7983"/>
    <w:rsid w:val="009B034C"/>
    <w:rsid w:val="009B4BC9"/>
    <w:rsid w:val="009B7E92"/>
    <w:rsid w:val="009C1A7B"/>
    <w:rsid w:val="009C2968"/>
    <w:rsid w:val="009C3159"/>
    <w:rsid w:val="009C4445"/>
    <w:rsid w:val="009C4CB2"/>
    <w:rsid w:val="009C534A"/>
    <w:rsid w:val="009C56D5"/>
    <w:rsid w:val="009D093C"/>
    <w:rsid w:val="009D0E89"/>
    <w:rsid w:val="009D6797"/>
    <w:rsid w:val="009E27AA"/>
    <w:rsid w:val="009E4715"/>
    <w:rsid w:val="009E4F6A"/>
    <w:rsid w:val="009E76F5"/>
    <w:rsid w:val="009F19C7"/>
    <w:rsid w:val="009F4C43"/>
    <w:rsid w:val="009F50C4"/>
    <w:rsid w:val="009F6815"/>
    <w:rsid w:val="009F7493"/>
    <w:rsid w:val="009F7BA3"/>
    <w:rsid w:val="00A00022"/>
    <w:rsid w:val="00A00D61"/>
    <w:rsid w:val="00A01046"/>
    <w:rsid w:val="00A0373C"/>
    <w:rsid w:val="00A06AFA"/>
    <w:rsid w:val="00A10477"/>
    <w:rsid w:val="00A112E4"/>
    <w:rsid w:val="00A12A0C"/>
    <w:rsid w:val="00A13EFC"/>
    <w:rsid w:val="00A15788"/>
    <w:rsid w:val="00A20055"/>
    <w:rsid w:val="00A20196"/>
    <w:rsid w:val="00A20F3B"/>
    <w:rsid w:val="00A22E29"/>
    <w:rsid w:val="00A24251"/>
    <w:rsid w:val="00A274D2"/>
    <w:rsid w:val="00A27CE7"/>
    <w:rsid w:val="00A30E32"/>
    <w:rsid w:val="00A3554C"/>
    <w:rsid w:val="00A41B4E"/>
    <w:rsid w:val="00A41F73"/>
    <w:rsid w:val="00A427A2"/>
    <w:rsid w:val="00A43C4E"/>
    <w:rsid w:val="00A45288"/>
    <w:rsid w:val="00A47821"/>
    <w:rsid w:val="00A50D4D"/>
    <w:rsid w:val="00A522ED"/>
    <w:rsid w:val="00A62B16"/>
    <w:rsid w:val="00A67149"/>
    <w:rsid w:val="00A835F4"/>
    <w:rsid w:val="00A90C21"/>
    <w:rsid w:val="00A936B3"/>
    <w:rsid w:val="00A95CD4"/>
    <w:rsid w:val="00AA0705"/>
    <w:rsid w:val="00AB1007"/>
    <w:rsid w:val="00AB10E8"/>
    <w:rsid w:val="00AB6BF2"/>
    <w:rsid w:val="00AB6DA9"/>
    <w:rsid w:val="00AB73DC"/>
    <w:rsid w:val="00AC65C0"/>
    <w:rsid w:val="00AC6E7D"/>
    <w:rsid w:val="00ACCA8D"/>
    <w:rsid w:val="00AD1E52"/>
    <w:rsid w:val="00AD4E0B"/>
    <w:rsid w:val="00AD62DF"/>
    <w:rsid w:val="00AD64F8"/>
    <w:rsid w:val="00AE15B5"/>
    <w:rsid w:val="00AE2CAD"/>
    <w:rsid w:val="00AE36EF"/>
    <w:rsid w:val="00AE773E"/>
    <w:rsid w:val="00AF0512"/>
    <w:rsid w:val="00AF0B2F"/>
    <w:rsid w:val="00AF2E32"/>
    <w:rsid w:val="00AF3727"/>
    <w:rsid w:val="00AF4B4A"/>
    <w:rsid w:val="00AF5CF6"/>
    <w:rsid w:val="00AF738B"/>
    <w:rsid w:val="00AF7D2D"/>
    <w:rsid w:val="00B052BC"/>
    <w:rsid w:val="00B06306"/>
    <w:rsid w:val="00B071A3"/>
    <w:rsid w:val="00B07E36"/>
    <w:rsid w:val="00B10B09"/>
    <w:rsid w:val="00B115E3"/>
    <w:rsid w:val="00B12041"/>
    <w:rsid w:val="00B1606F"/>
    <w:rsid w:val="00B1749D"/>
    <w:rsid w:val="00B20C69"/>
    <w:rsid w:val="00B2629A"/>
    <w:rsid w:val="00B30105"/>
    <w:rsid w:val="00B31398"/>
    <w:rsid w:val="00B330A5"/>
    <w:rsid w:val="00B3784A"/>
    <w:rsid w:val="00B42604"/>
    <w:rsid w:val="00B42D4D"/>
    <w:rsid w:val="00B4307A"/>
    <w:rsid w:val="00B457F9"/>
    <w:rsid w:val="00B45E5A"/>
    <w:rsid w:val="00B45F00"/>
    <w:rsid w:val="00B46DED"/>
    <w:rsid w:val="00B46EB9"/>
    <w:rsid w:val="00B5118C"/>
    <w:rsid w:val="00B51E8C"/>
    <w:rsid w:val="00B527FF"/>
    <w:rsid w:val="00B5439F"/>
    <w:rsid w:val="00B57403"/>
    <w:rsid w:val="00B575F4"/>
    <w:rsid w:val="00B611A2"/>
    <w:rsid w:val="00B63552"/>
    <w:rsid w:val="00B63BAD"/>
    <w:rsid w:val="00B6519E"/>
    <w:rsid w:val="00B6678A"/>
    <w:rsid w:val="00B674E6"/>
    <w:rsid w:val="00B72613"/>
    <w:rsid w:val="00B80485"/>
    <w:rsid w:val="00B81CDA"/>
    <w:rsid w:val="00B855D7"/>
    <w:rsid w:val="00B940E8"/>
    <w:rsid w:val="00BA6E3A"/>
    <w:rsid w:val="00BB5C33"/>
    <w:rsid w:val="00BB6A08"/>
    <w:rsid w:val="00BB746F"/>
    <w:rsid w:val="00BB7A3B"/>
    <w:rsid w:val="00BB7CED"/>
    <w:rsid w:val="00BC5DCC"/>
    <w:rsid w:val="00BC66C5"/>
    <w:rsid w:val="00BD0A8F"/>
    <w:rsid w:val="00BD28C1"/>
    <w:rsid w:val="00BD33DC"/>
    <w:rsid w:val="00BD478E"/>
    <w:rsid w:val="00BE033B"/>
    <w:rsid w:val="00BE03F7"/>
    <w:rsid w:val="00BE0F26"/>
    <w:rsid w:val="00BE44B4"/>
    <w:rsid w:val="00BE659F"/>
    <w:rsid w:val="00BF0C3E"/>
    <w:rsid w:val="00BF13F2"/>
    <w:rsid w:val="00BF1810"/>
    <w:rsid w:val="00BF1D49"/>
    <w:rsid w:val="00BF68AB"/>
    <w:rsid w:val="00BF7539"/>
    <w:rsid w:val="00BF76B9"/>
    <w:rsid w:val="00BF7B40"/>
    <w:rsid w:val="00C00BBA"/>
    <w:rsid w:val="00C013D8"/>
    <w:rsid w:val="00C12500"/>
    <w:rsid w:val="00C13E70"/>
    <w:rsid w:val="00C1461B"/>
    <w:rsid w:val="00C2067B"/>
    <w:rsid w:val="00C23472"/>
    <w:rsid w:val="00C234C7"/>
    <w:rsid w:val="00C25A4D"/>
    <w:rsid w:val="00C31C0E"/>
    <w:rsid w:val="00C328A5"/>
    <w:rsid w:val="00C32E54"/>
    <w:rsid w:val="00C349A7"/>
    <w:rsid w:val="00C37498"/>
    <w:rsid w:val="00C408D6"/>
    <w:rsid w:val="00C4262E"/>
    <w:rsid w:val="00C42D4A"/>
    <w:rsid w:val="00C55552"/>
    <w:rsid w:val="00C56FCA"/>
    <w:rsid w:val="00C5739A"/>
    <w:rsid w:val="00C62698"/>
    <w:rsid w:val="00C62770"/>
    <w:rsid w:val="00C65304"/>
    <w:rsid w:val="00C7018F"/>
    <w:rsid w:val="00C70CCD"/>
    <w:rsid w:val="00C72663"/>
    <w:rsid w:val="00C80537"/>
    <w:rsid w:val="00C8075E"/>
    <w:rsid w:val="00C8369F"/>
    <w:rsid w:val="00C857CD"/>
    <w:rsid w:val="00C90403"/>
    <w:rsid w:val="00C90681"/>
    <w:rsid w:val="00C91FB2"/>
    <w:rsid w:val="00C922FE"/>
    <w:rsid w:val="00C9276A"/>
    <w:rsid w:val="00C97E81"/>
    <w:rsid w:val="00CA0305"/>
    <w:rsid w:val="00CA1235"/>
    <w:rsid w:val="00CA133A"/>
    <w:rsid w:val="00CA1FB3"/>
    <w:rsid w:val="00CA381A"/>
    <w:rsid w:val="00CA472F"/>
    <w:rsid w:val="00CA4A61"/>
    <w:rsid w:val="00CA597B"/>
    <w:rsid w:val="00CB1C0D"/>
    <w:rsid w:val="00CB1E8A"/>
    <w:rsid w:val="00CB4DAC"/>
    <w:rsid w:val="00CB5C66"/>
    <w:rsid w:val="00CB63B5"/>
    <w:rsid w:val="00CC267A"/>
    <w:rsid w:val="00CC2815"/>
    <w:rsid w:val="00CC6687"/>
    <w:rsid w:val="00CD37DE"/>
    <w:rsid w:val="00CD3A47"/>
    <w:rsid w:val="00CD689F"/>
    <w:rsid w:val="00CE1EDF"/>
    <w:rsid w:val="00CF3393"/>
    <w:rsid w:val="00CF4698"/>
    <w:rsid w:val="00CF561D"/>
    <w:rsid w:val="00D00CF6"/>
    <w:rsid w:val="00D0293F"/>
    <w:rsid w:val="00D03BF3"/>
    <w:rsid w:val="00D04D68"/>
    <w:rsid w:val="00D05ECF"/>
    <w:rsid w:val="00D07AE2"/>
    <w:rsid w:val="00D11ABF"/>
    <w:rsid w:val="00D125FF"/>
    <w:rsid w:val="00D15A42"/>
    <w:rsid w:val="00D176BE"/>
    <w:rsid w:val="00D20179"/>
    <w:rsid w:val="00D2341D"/>
    <w:rsid w:val="00D24BEA"/>
    <w:rsid w:val="00D2602C"/>
    <w:rsid w:val="00D30090"/>
    <w:rsid w:val="00D30DF1"/>
    <w:rsid w:val="00D33ABD"/>
    <w:rsid w:val="00D34293"/>
    <w:rsid w:val="00D345DF"/>
    <w:rsid w:val="00D34AD6"/>
    <w:rsid w:val="00D36CDF"/>
    <w:rsid w:val="00D42AF8"/>
    <w:rsid w:val="00D44EB2"/>
    <w:rsid w:val="00D46829"/>
    <w:rsid w:val="00D51CB0"/>
    <w:rsid w:val="00D520A7"/>
    <w:rsid w:val="00D52442"/>
    <w:rsid w:val="00D52450"/>
    <w:rsid w:val="00D5495F"/>
    <w:rsid w:val="00D555BC"/>
    <w:rsid w:val="00D57D72"/>
    <w:rsid w:val="00D61802"/>
    <w:rsid w:val="00D61C9E"/>
    <w:rsid w:val="00D6317F"/>
    <w:rsid w:val="00D63CA4"/>
    <w:rsid w:val="00D7045C"/>
    <w:rsid w:val="00D71492"/>
    <w:rsid w:val="00D72021"/>
    <w:rsid w:val="00D7516D"/>
    <w:rsid w:val="00D76A7D"/>
    <w:rsid w:val="00D82604"/>
    <w:rsid w:val="00D846A6"/>
    <w:rsid w:val="00D90162"/>
    <w:rsid w:val="00D92959"/>
    <w:rsid w:val="00D9557E"/>
    <w:rsid w:val="00D96A44"/>
    <w:rsid w:val="00D97303"/>
    <w:rsid w:val="00DA3C32"/>
    <w:rsid w:val="00DA46B8"/>
    <w:rsid w:val="00DA52CF"/>
    <w:rsid w:val="00DA6D4E"/>
    <w:rsid w:val="00DB065D"/>
    <w:rsid w:val="00DB6195"/>
    <w:rsid w:val="00DB7C62"/>
    <w:rsid w:val="00DC00CD"/>
    <w:rsid w:val="00DC1690"/>
    <w:rsid w:val="00DC3137"/>
    <w:rsid w:val="00DC3679"/>
    <w:rsid w:val="00DC3FDF"/>
    <w:rsid w:val="00DC49FE"/>
    <w:rsid w:val="00DD165F"/>
    <w:rsid w:val="00DD246F"/>
    <w:rsid w:val="00DD25FE"/>
    <w:rsid w:val="00DD2EF0"/>
    <w:rsid w:val="00DD3342"/>
    <w:rsid w:val="00DD37A7"/>
    <w:rsid w:val="00DD43A2"/>
    <w:rsid w:val="00DD4F27"/>
    <w:rsid w:val="00DD53CB"/>
    <w:rsid w:val="00DE1DB8"/>
    <w:rsid w:val="00DE3EF8"/>
    <w:rsid w:val="00DE5251"/>
    <w:rsid w:val="00DF255C"/>
    <w:rsid w:val="00DF4E40"/>
    <w:rsid w:val="00DF5DEC"/>
    <w:rsid w:val="00DF71EE"/>
    <w:rsid w:val="00E008F7"/>
    <w:rsid w:val="00E01568"/>
    <w:rsid w:val="00E026AF"/>
    <w:rsid w:val="00E05EEE"/>
    <w:rsid w:val="00E13204"/>
    <w:rsid w:val="00E160E0"/>
    <w:rsid w:val="00E17E8B"/>
    <w:rsid w:val="00E2162B"/>
    <w:rsid w:val="00E239D8"/>
    <w:rsid w:val="00E23BAE"/>
    <w:rsid w:val="00E24254"/>
    <w:rsid w:val="00E27707"/>
    <w:rsid w:val="00E3010C"/>
    <w:rsid w:val="00E36648"/>
    <w:rsid w:val="00E36E85"/>
    <w:rsid w:val="00E404CE"/>
    <w:rsid w:val="00E4227D"/>
    <w:rsid w:val="00E43382"/>
    <w:rsid w:val="00E45484"/>
    <w:rsid w:val="00E46D2A"/>
    <w:rsid w:val="00E47DFE"/>
    <w:rsid w:val="00E5028B"/>
    <w:rsid w:val="00E53190"/>
    <w:rsid w:val="00E53A37"/>
    <w:rsid w:val="00E54633"/>
    <w:rsid w:val="00E54C32"/>
    <w:rsid w:val="00E55574"/>
    <w:rsid w:val="00E55D3A"/>
    <w:rsid w:val="00E5720B"/>
    <w:rsid w:val="00E619CB"/>
    <w:rsid w:val="00E63860"/>
    <w:rsid w:val="00E70CAA"/>
    <w:rsid w:val="00E720A4"/>
    <w:rsid w:val="00E7250F"/>
    <w:rsid w:val="00E77F0B"/>
    <w:rsid w:val="00E81568"/>
    <w:rsid w:val="00E84E1F"/>
    <w:rsid w:val="00E9639B"/>
    <w:rsid w:val="00EA74DD"/>
    <w:rsid w:val="00EB3F2F"/>
    <w:rsid w:val="00EB4A8F"/>
    <w:rsid w:val="00EC0AF4"/>
    <w:rsid w:val="00EC0E19"/>
    <w:rsid w:val="00EC4B46"/>
    <w:rsid w:val="00EC6910"/>
    <w:rsid w:val="00EC727D"/>
    <w:rsid w:val="00ED1A3B"/>
    <w:rsid w:val="00ED2315"/>
    <w:rsid w:val="00ED3A91"/>
    <w:rsid w:val="00ED4D8A"/>
    <w:rsid w:val="00ED5920"/>
    <w:rsid w:val="00EF0382"/>
    <w:rsid w:val="00EF0C97"/>
    <w:rsid w:val="00EF12AC"/>
    <w:rsid w:val="00EF28E1"/>
    <w:rsid w:val="00EF349F"/>
    <w:rsid w:val="00EF35AC"/>
    <w:rsid w:val="00EF37CA"/>
    <w:rsid w:val="00EF4030"/>
    <w:rsid w:val="00EF4049"/>
    <w:rsid w:val="00EF7D05"/>
    <w:rsid w:val="00F0036B"/>
    <w:rsid w:val="00F01969"/>
    <w:rsid w:val="00F02E53"/>
    <w:rsid w:val="00F06B40"/>
    <w:rsid w:val="00F119AA"/>
    <w:rsid w:val="00F11F12"/>
    <w:rsid w:val="00F15D5C"/>
    <w:rsid w:val="00F207A3"/>
    <w:rsid w:val="00F20BA7"/>
    <w:rsid w:val="00F23C7D"/>
    <w:rsid w:val="00F2475B"/>
    <w:rsid w:val="00F318CD"/>
    <w:rsid w:val="00F35922"/>
    <w:rsid w:val="00F360FF"/>
    <w:rsid w:val="00F37234"/>
    <w:rsid w:val="00F404E8"/>
    <w:rsid w:val="00F43E56"/>
    <w:rsid w:val="00F446A9"/>
    <w:rsid w:val="00F45081"/>
    <w:rsid w:val="00F5658E"/>
    <w:rsid w:val="00F611DF"/>
    <w:rsid w:val="00F62B76"/>
    <w:rsid w:val="00F64EE6"/>
    <w:rsid w:val="00F67812"/>
    <w:rsid w:val="00F67B55"/>
    <w:rsid w:val="00F67E44"/>
    <w:rsid w:val="00F70B7E"/>
    <w:rsid w:val="00F7506A"/>
    <w:rsid w:val="00F774E1"/>
    <w:rsid w:val="00F86456"/>
    <w:rsid w:val="00F87960"/>
    <w:rsid w:val="00F900CD"/>
    <w:rsid w:val="00F90A4A"/>
    <w:rsid w:val="00F95194"/>
    <w:rsid w:val="00F968AF"/>
    <w:rsid w:val="00FA2D9D"/>
    <w:rsid w:val="00FA325F"/>
    <w:rsid w:val="00FA5EC9"/>
    <w:rsid w:val="00FB0D22"/>
    <w:rsid w:val="00FB3360"/>
    <w:rsid w:val="00FB4B81"/>
    <w:rsid w:val="00FB77CB"/>
    <w:rsid w:val="00FC2A4B"/>
    <w:rsid w:val="00FC3D20"/>
    <w:rsid w:val="00FC6914"/>
    <w:rsid w:val="00FD1367"/>
    <w:rsid w:val="00FD3B91"/>
    <w:rsid w:val="00FD7C0F"/>
    <w:rsid w:val="00FE421E"/>
    <w:rsid w:val="00FE5622"/>
    <w:rsid w:val="00FE5D70"/>
    <w:rsid w:val="00FF2993"/>
    <w:rsid w:val="00FF30EA"/>
    <w:rsid w:val="00FF48B5"/>
    <w:rsid w:val="00FF63E7"/>
    <w:rsid w:val="00FF6DF0"/>
    <w:rsid w:val="012CA266"/>
    <w:rsid w:val="017A5495"/>
    <w:rsid w:val="023C6785"/>
    <w:rsid w:val="0248DF4D"/>
    <w:rsid w:val="030E5BBC"/>
    <w:rsid w:val="0329C15F"/>
    <w:rsid w:val="03578D59"/>
    <w:rsid w:val="038EB2A4"/>
    <w:rsid w:val="03C2C1D3"/>
    <w:rsid w:val="0414BE16"/>
    <w:rsid w:val="042FE212"/>
    <w:rsid w:val="0446DABE"/>
    <w:rsid w:val="046F898E"/>
    <w:rsid w:val="0475A06A"/>
    <w:rsid w:val="04D726B2"/>
    <w:rsid w:val="04FE8E00"/>
    <w:rsid w:val="05A61B90"/>
    <w:rsid w:val="05B0C04D"/>
    <w:rsid w:val="05E8042E"/>
    <w:rsid w:val="05FB6EE4"/>
    <w:rsid w:val="06052667"/>
    <w:rsid w:val="061F7553"/>
    <w:rsid w:val="06462891"/>
    <w:rsid w:val="0681AE70"/>
    <w:rsid w:val="0691E2BA"/>
    <w:rsid w:val="06946ED5"/>
    <w:rsid w:val="0704DFA9"/>
    <w:rsid w:val="07895265"/>
    <w:rsid w:val="087BC645"/>
    <w:rsid w:val="088E8100"/>
    <w:rsid w:val="0933AD3A"/>
    <w:rsid w:val="094E6E62"/>
    <w:rsid w:val="0A0345FF"/>
    <w:rsid w:val="0A5C4756"/>
    <w:rsid w:val="0AEE3BA9"/>
    <w:rsid w:val="0B2E4A68"/>
    <w:rsid w:val="0B8C2AD1"/>
    <w:rsid w:val="0B8EC26D"/>
    <w:rsid w:val="0BB4D564"/>
    <w:rsid w:val="0BBC6117"/>
    <w:rsid w:val="0BF27800"/>
    <w:rsid w:val="0BF3CB7E"/>
    <w:rsid w:val="0C45FC42"/>
    <w:rsid w:val="0C5D113E"/>
    <w:rsid w:val="0D628DCA"/>
    <w:rsid w:val="0D889566"/>
    <w:rsid w:val="0DB731C1"/>
    <w:rsid w:val="0DDE6F07"/>
    <w:rsid w:val="0E473FD5"/>
    <w:rsid w:val="0E7EC548"/>
    <w:rsid w:val="0E921DDD"/>
    <w:rsid w:val="0F06BCBB"/>
    <w:rsid w:val="0F79506F"/>
    <w:rsid w:val="103E3D92"/>
    <w:rsid w:val="106B7962"/>
    <w:rsid w:val="10D0F1D9"/>
    <w:rsid w:val="113597FA"/>
    <w:rsid w:val="1148307D"/>
    <w:rsid w:val="115DA047"/>
    <w:rsid w:val="11AD74A5"/>
    <w:rsid w:val="11BE6CAA"/>
    <w:rsid w:val="11EB7B97"/>
    <w:rsid w:val="127E50BF"/>
    <w:rsid w:val="12E5ECFD"/>
    <w:rsid w:val="12F18013"/>
    <w:rsid w:val="135C0EA7"/>
    <w:rsid w:val="141E890C"/>
    <w:rsid w:val="14263389"/>
    <w:rsid w:val="142E346D"/>
    <w:rsid w:val="14B45C34"/>
    <w:rsid w:val="14D59A60"/>
    <w:rsid w:val="14F7F8B9"/>
    <w:rsid w:val="158ED1D4"/>
    <w:rsid w:val="1643109C"/>
    <w:rsid w:val="1650B8B5"/>
    <w:rsid w:val="16A42F8B"/>
    <w:rsid w:val="16C448B6"/>
    <w:rsid w:val="176AA1FE"/>
    <w:rsid w:val="185FAAEE"/>
    <w:rsid w:val="188DA508"/>
    <w:rsid w:val="18FC0B8C"/>
    <w:rsid w:val="19140934"/>
    <w:rsid w:val="195C76AF"/>
    <w:rsid w:val="196CB459"/>
    <w:rsid w:val="199CCD36"/>
    <w:rsid w:val="19AEAD72"/>
    <w:rsid w:val="19BBB943"/>
    <w:rsid w:val="19F39DFA"/>
    <w:rsid w:val="19F3C392"/>
    <w:rsid w:val="1A6CB9C4"/>
    <w:rsid w:val="1A9F6A9A"/>
    <w:rsid w:val="1B28F874"/>
    <w:rsid w:val="1B586961"/>
    <w:rsid w:val="1B741BEA"/>
    <w:rsid w:val="1B8EE6DE"/>
    <w:rsid w:val="1BF832CA"/>
    <w:rsid w:val="1C1130DE"/>
    <w:rsid w:val="1C4C8482"/>
    <w:rsid w:val="1CE89A3F"/>
    <w:rsid w:val="1D1FD675"/>
    <w:rsid w:val="1D8F0DBC"/>
    <w:rsid w:val="1E2A0604"/>
    <w:rsid w:val="1F06057E"/>
    <w:rsid w:val="1F462E58"/>
    <w:rsid w:val="1F829C1D"/>
    <w:rsid w:val="219C96D0"/>
    <w:rsid w:val="21D6D13F"/>
    <w:rsid w:val="22445FDF"/>
    <w:rsid w:val="228CF77C"/>
    <w:rsid w:val="22E49C92"/>
    <w:rsid w:val="239F8247"/>
    <w:rsid w:val="23E206A7"/>
    <w:rsid w:val="2420AEDB"/>
    <w:rsid w:val="260391C1"/>
    <w:rsid w:val="26F0B0CC"/>
    <w:rsid w:val="273CC57E"/>
    <w:rsid w:val="275E60AC"/>
    <w:rsid w:val="27658325"/>
    <w:rsid w:val="276AD8A8"/>
    <w:rsid w:val="277B021D"/>
    <w:rsid w:val="2789E81F"/>
    <w:rsid w:val="27FE2FE8"/>
    <w:rsid w:val="2802F918"/>
    <w:rsid w:val="28551567"/>
    <w:rsid w:val="2884AD31"/>
    <w:rsid w:val="28FD30D0"/>
    <w:rsid w:val="295FCB62"/>
    <w:rsid w:val="2975322B"/>
    <w:rsid w:val="2A2BF848"/>
    <w:rsid w:val="2A9F81F6"/>
    <w:rsid w:val="2ACD154C"/>
    <w:rsid w:val="2B0D6038"/>
    <w:rsid w:val="2B7E88F0"/>
    <w:rsid w:val="2B95B3A5"/>
    <w:rsid w:val="2BD3350F"/>
    <w:rsid w:val="2BF5071E"/>
    <w:rsid w:val="2C923312"/>
    <w:rsid w:val="2CAB89C8"/>
    <w:rsid w:val="2CB725C7"/>
    <w:rsid w:val="2CBE5AB5"/>
    <w:rsid w:val="2D051BA7"/>
    <w:rsid w:val="2DD0E25B"/>
    <w:rsid w:val="2E788825"/>
    <w:rsid w:val="2EC0C1E8"/>
    <w:rsid w:val="2EDA0AA4"/>
    <w:rsid w:val="2F473C00"/>
    <w:rsid w:val="2FE58069"/>
    <w:rsid w:val="30028DFD"/>
    <w:rsid w:val="3089A893"/>
    <w:rsid w:val="3116BCD8"/>
    <w:rsid w:val="31478E06"/>
    <w:rsid w:val="31489790"/>
    <w:rsid w:val="3200FD36"/>
    <w:rsid w:val="324F9C90"/>
    <w:rsid w:val="32EEFE85"/>
    <w:rsid w:val="331BB0E4"/>
    <w:rsid w:val="33617962"/>
    <w:rsid w:val="340E358B"/>
    <w:rsid w:val="34329B90"/>
    <w:rsid w:val="343C37D0"/>
    <w:rsid w:val="345D1A68"/>
    <w:rsid w:val="345D1D77"/>
    <w:rsid w:val="34EBA0D0"/>
    <w:rsid w:val="350C8279"/>
    <w:rsid w:val="352E0D77"/>
    <w:rsid w:val="363B18D6"/>
    <w:rsid w:val="364B0BDA"/>
    <w:rsid w:val="367DF9B2"/>
    <w:rsid w:val="3682C30E"/>
    <w:rsid w:val="37F2AAB8"/>
    <w:rsid w:val="38645EED"/>
    <w:rsid w:val="38DADCF2"/>
    <w:rsid w:val="3979BF3C"/>
    <w:rsid w:val="3A29166E"/>
    <w:rsid w:val="3A459016"/>
    <w:rsid w:val="3A7F7453"/>
    <w:rsid w:val="3A98FEB7"/>
    <w:rsid w:val="3B0A7662"/>
    <w:rsid w:val="3C3B7C7B"/>
    <w:rsid w:val="3C3C04D9"/>
    <w:rsid w:val="3C43B5D0"/>
    <w:rsid w:val="3C4C54AB"/>
    <w:rsid w:val="3D04E0F4"/>
    <w:rsid w:val="3D551BE0"/>
    <w:rsid w:val="3DBAC9CF"/>
    <w:rsid w:val="3EFB1859"/>
    <w:rsid w:val="3F2570DD"/>
    <w:rsid w:val="3FC7E4D3"/>
    <w:rsid w:val="40059108"/>
    <w:rsid w:val="4006DD6F"/>
    <w:rsid w:val="407D0C7F"/>
    <w:rsid w:val="4199AD18"/>
    <w:rsid w:val="4242E772"/>
    <w:rsid w:val="42730DBE"/>
    <w:rsid w:val="42FCDFC2"/>
    <w:rsid w:val="436DF456"/>
    <w:rsid w:val="43BC855D"/>
    <w:rsid w:val="4432B7AF"/>
    <w:rsid w:val="44CF569B"/>
    <w:rsid w:val="452A86FA"/>
    <w:rsid w:val="45414A11"/>
    <w:rsid w:val="4681D242"/>
    <w:rsid w:val="46CAAE03"/>
    <w:rsid w:val="478404A5"/>
    <w:rsid w:val="47C56D92"/>
    <w:rsid w:val="483A63B1"/>
    <w:rsid w:val="486C55AA"/>
    <w:rsid w:val="486EFABF"/>
    <w:rsid w:val="48B2B8BA"/>
    <w:rsid w:val="48F57E85"/>
    <w:rsid w:val="495C1B37"/>
    <w:rsid w:val="496FB779"/>
    <w:rsid w:val="497ED79F"/>
    <w:rsid w:val="4988594E"/>
    <w:rsid w:val="49B2116F"/>
    <w:rsid w:val="49C7A37C"/>
    <w:rsid w:val="4A0A7EB6"/>
    <w:rsid w:val="4A2984A0"/>
    <w:rsid w:val="4A32FB46"/>
    <w:rsid w:val="4A36F411"/>
    <w:rsid w:val="4ABE6E37"/>
    <w:rsid w:val="4ADF2281"/>
    <w:rsid w:val="4C178BC5"/>
    <w:rsid w:val="4DA536F3"/>
    <w:rsid w:val="4E406994"/>
    <w:rsid w:val="4E6FE1A9"/>
    <w:rsid w:val="4E92F5A4"/>
    <w:rsid w:val="4E9F0297"/>
    <w:rsid w:val="4ED339FB"/>
    <w:rsid w:val="4ED65C20"/>
    <w:rsid w:val="4F078CD5"/>
    <w:rsid w:val="4F1DED8E"/>
    <w:rsid w:val="4FACA796"/>
    <w:rsid w:val="4FE80F6C"/>
    <w:rsid w:val="507024CE"/>
    <w:rsid w:val="50CE50D5"/>
    <w:rsid w:val="50DAB550"/>
    <w:rsid w:val="51119F39"/>
    <w:rsid w:val="512A1468"/>
    <w:rsid w:val="5177C697"/>
    <w:rsid w:val="52269BDF"/>
    <w:rsid w:val="52308F4D"/>
    <w:rsid w:val="52572700"/>
    <w:rsid w:val="53111206"/>
    <w:rsid w:val="53D38489"/>
    <w:rsid w:val="541C1F10"/>
    <w:rsid w:val="54284A76"/>
    <w:rsid w:val="5436DD32"/>
    <w:rsid w:val="5445DBEB"/>
    <w:rsid w:val="550FD5DF"/>
    <w:rsid w:val="55751482"/>
    <w:rsid w:val="55A502C3"/>
    <w:rsid w:val="55D880A5"/>
    <w:rsid w:val="55F13428"/>
    <w:rsid w:val="55F3B8DD"/>
    <w:rsid w:val="5633D5C5"/>
    <w:rsid w:val="565F7469"/>
    <w:rsid w:val="566B83E3"/>
    <w:rsid w:val="5676C7A9"/>
    <w:rsid w:val="56930F49"/>
    <w:rsid w:val="56DC8A4C"/>
    <w:rsid w:val="57098F54"/>
    <w:rsid w:val="572CF50C"/>
    <w:rsid w:val="57439043"/>
    <w:rsid w:val="5747BDCA"/>
    <w:rsid w:val="58B4CF7B"/>
    <w:rsid w:val="58E36B15"/>
    <w:rsid w:val="59077A82"/>
    <w:rsid w:val="59AD5FC1"/>
    <w:rsid w:val="5A7E2650"/>
    <w:rsid w:val="5AD20DA9"/>
    <w:rsid w:val="5B2382D7"/>
    <w:rsid w:val="5BDC7F94"/>
    <w:rsid w:val="5BF5A828"/>
    <w:rsid w:val="5C0756B6"/>
    <w:rsid w:val="5D27585A"/>
    <w:rsid w:val="5D8CC9DF"/>
    <w:rsid w:val="5E359CC6"/>
    <w:rsid w:val="5E3BCC6E"/>
    <w:rsid w:val="5E408102"/>
    <w:rsid w:val="5F188AB6"/>
    <w:rsid w:val="5F658FD3"/>
    <w:rsid w:val="5FA3ABBD"/>
    <w:rsid w:val="5FEF955C"/>
    <w:rsid w:val="607AAA5F"/>
    <w:rsid w:val="61A70EE1"/>
    <w:rsid w:val="61BFCBC6"/>
    <w:rsid w:val="6204F283"/>
    <w:rsid w:val="6284CDF7"/>
    <w:rsid w:val="6320BE07"/>
    <w:rsid w:val="6359060F"/>
    <w:rsid w:val="635B953B"/>
    <w:rsid w:val="63B22DFE"/>
    <w:rsid w:val="63BB97BD"/>
    <w:rsid w:val="641C076F"/>
    <w:rsid w:val="6438080B"/>
    <w:rsid w:val="64DE94DD"/>
    <w:rsid w:val="652BBFC8"/>
    <w:rsid w:val="659A2737"/>
    <w:rsid w:val="65A2FE60"/>
    <w:rsid w:val="6613BC9A"/>
    <w:rsid w:val="66823E79"/>
    <w:rsid w:val="66A01482"/>
    <w:rsid w:val="66FE0ECC"/>
    <w:rsid w:val="674747D2"/>
    <w:rsid w:val="6747DA8B"/>
    <w:rsid w:val="67CEA5DE"/>
    <w:rsid w:val="682FF671"/>
    <w:rsid w:val="688A5EC1"/>
    <w:rsid w:val="689A379C"/>
    <w:rsid w:val="68F3643D"/>
    <w:rsid w:val="6956448E"/>
    <w:rsid w:val="6987E013"/>
    <w:rsid w:val="69A568D9"/>
    <w:rsid w:val="69B0E621"/>
    <w:rsid w:val="6A0FFBEC"/>
    <w:rsid w:val="6A6BA46C"/>
    <w:rsid w:val="6A82A71E"/>
    <w:rsid w:val="6AB526FA"/>
    <w:rsid w:val="6B849EE2"/>
    <w:rsid w:val="6BA20337"/>
    <w:rsid w:val="6C5A0242"/>
    <w:rsid w:val="6D6EBA13"/>
    <w:rsid w:val="6D72D20F"/>
    <w:rsid w:val="6D7A72D3"/>
    <w:rsid w:val="6E9B5C79"/>
    <w:rsid w:val="6EA4189F"/>
    <w:rsid w:val="6F6DB759"/>
    <w:rsid w:val="6FA609ED"/>
    <w:rsid w:val="6FE01071"/>
    <w:rsid w:val="7087E5F9"/>
    <w:rsid w:val="709D9D34"/>
    <w:rsid w:val="70BEAB65"/>
    <w:rsid w:val="710F35BA"/>
    <w:rsid w:val="71113278"/>
    <w:rsid w:val="711D0B2E"/>
    <w:rsid w:val="7133A373"/>
    <w:rsid w:val="71C3C266"/>
    <w:rsid w:val="71FCC24D"/>
    <w:rsid w:val="725DCC7C"/>
    <w:rsid w:val="728A2D2E"/>
    <w:rsid w:val="73548285"/>
    <w:rsid w:val="735C020C"/>
    <w:rsid w:val="7361437F"/>
    <w:rsid w:val="73D02801"/>
    <w:rsid w:val="7422E8EE"/>
    <w:rsid w:val="74FAA4B7"/>
    <w:rsid w:val="752FCB4E"/>
    <w:rsid w:val="757237A7"/>
    <w:rsid w:val="75C23B90"/>
    <w:rsid w:val="766723F2"/>
    <w:rsid w:val="7694E0A2"/>
    <w:rsid w:val="76D18938"/>
    <w:rsid w:val="7737D7FA"/>
    <w:rsid w:val="778CB5B9"/>
    <w:rsid w:val="77BEFEB3"/>
    <w:rsid w:val="7827CCDE"/>
    <w:rsid w:val="783F2ACF"/>
    <w:rsid w:val="784ED04D"/>
    <w:rsid w:val="78C2F71B"/>
    <w:rsid w:val="78C6058E"/>
    <w:rsid w:val="79247E0D"/>
    <w:rsid w:val="7A3570B2"/>
    <w:rsid w:val="7AEB377B"/>
    <w:rsid w:val="7AF96BB1"/>
    <w:rsid w:val="7B0398F2"/>
    <w:rsid w:val="7B3D9663"/>
    <w:rsid w:val="7BA2C40E"/>
    <w:rsid w:val="7BCDF045"/>
    <w:rsid w:val="7C11AF03"/>
    <w:rsid w:val="7C40873A"/>
    <w:rsid w:val="7C48536A"/>
    <w:rsid w:val="7CA8238B"/>
    <w:rsid w:val="7CC2528B"/>
    <w:rsid w:val="7D1A6C2A"/>
    <w:rsid w:val="7D7E9C94"/>
    <w:rsid w:val="7DBA5488"/>
    <w:rsid w:val="7DD73D76"/>
    <w:rsid w:val="7E10D054"/>
    <w:rsid w:val="7E2468EF"/>
    <w:rsid w:val="7E42F8AD"/>
    <w:rsid w:val="7E65BC70"/>
    <w:rsid w:val="7F03343E"/>
    <w:rsid w:val="7F27AB46"/>
    <w:rsid w:val="7F2F0CF0"/>
    <w:rsid w:val="7F4C060E"/>
    <w:rsid w:val="7F9E1EDB"/>
    <w:rsid w:val="7FD83CE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0C930"/>
  <w15:chartTrackingRefBased/>
  <w15:docId w15:val="{3ADE461E-B119-42C0-9161-E6727E753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C31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E"/>
      <w14:ligatures w14:val="none"/>
    </w:rPr>
  </w:style>
  <w:style w:type="paragraph" w:styleId="Heading2">
    <w:name w:val="heading 2"/>
    <w:basedOn w:val="Normal"/>
    <w:next w:val="Normal"/>
    <w:link w:val="Heading2Char"/>
    <w:uiPriority w:val="9"/>
    <w:semiHidden/>
    <w:unhideWhenUsed/>
    <w:qFormat/>
    <w:rsid w:val="00215A06"/>
    <w:pPr>
      <w:keepNext/>
      <w:tabs>
        <w:tab w:val="num" w:pos="1440"/>
      </w:tabs>
      <w:spacing w:before="240" w:after="60" w:line="240" w:lineRule="auto"/>
      <w:ind w:left="1440" w:hanging="720"/>
      <w:outlineLvl w:val="1"/>
    </w:pPr>
    <w:rPr>
      <w:rFonts w:asciiTheme="majorHAnsi" w:eastAsiaTheme="majorEastAsia" w:hAnsiTheme="majorHAnsi" w:cstheme="majorBidi"/>
      <w:b/>
      <w:bCs/>
      <w:i/>
      <w:iCs/>
      <w:kern w:val="0"/>
      <w:sz w:val="28"/>
      <w:szCs w:val="28"/>
      <w:lang w:val="en-GB"/>
      <w14:ligatures w14:val="none"/>
    </w:rPr>
  </w:style>
  <w:style w:type="paragraph" w:styleId="Heading3">
    <w:name w:val="heading 3"/>
    <w:basedOn w:val="Normal"/>
    <w:next w:val="Normal"/>
    <w:link w:val="Heading3Char"/>
    <w:uiPriority w:val="9"/>
    <w:semiHidden/>
    <w:unhideWhenUsed/>
    <w:qFormat/>
    <w:rsid w:val="00215A06"/>
    <w:pPr>
      <w:keepNext/>
      <w:tabs>
        <w:tab w:val="num" w:pos="2160"/>
      </w:tabs>
      <w:spacing w:before="240" w:after="60" w:line="240" w:lineRule="auto"/>
      <w:ind w:left="2160" w:hanging="720"/>
      <w:outlineLvl w:val="2"/>
    </w:pPr>
    <w:rPr>
      <w:rFonts w:asciiTheme="majorHAnsi" w:eastAsiaTheme="majorEastAsia" w:hAnsiTheme="majorHAnsi" w:cstheme="majorBidi"/>
      <w:b/>
      <w:bCs/>
      <w:kern w:val="0"/>
      <w:sz w:val="26"/>
      <w:szCs w:val="26"/>
      <w:lang w:val="en-GB"/>
      <w14:ligatures w14:val="none"/>
    </w:rPr>
  </w:style>
  <w:style w:type="paragraph" w:styleId="Heading4">
    <w:name w:val="heading 4"/>
    <w:basedOn w:val="Normal"/>
    <w:next w:val="Normal"/>
    <w:link w:val="Heading4Char"/>
    <w:uiPriority w:val="9"/>
    <w:semiHidden/>
    <w:unhideWhenUsed/>
    <w:qFormat/>
    <w:rsid w:val="00215A06"/>
    <w:pPr>
      <w:keepNext/>
      <w:tabs>
        <w:tab w:val="num" w:pos="2880"/>
      </w:tabs>
      <w:spacing w:before="240" w:after="60" w:line="240" w:lineRule="auto"/>
      <w:ind w:left="2880" w:hanging="720"/>
      <w:outlineLvl w:val="3"/>
    </w:pPr>
    <w:rPr>
      <w:rFonts w:eastAsiaTheme="minorEastAsia"/>
      <w:b/>
      <w:bCs/>
      <w:kern w:val="0"/>
      <w:sz w:val="28"/>
      <w:szCs w:val="28"/>
      <w:lang w:val="en-GB"/>
      <w14:ligatures w14:val="none"/>
    </w:rPr>
  </w:style>
  <w:style w:type="paragraph" w:styleId="Heading5">
    <w:name w:val="heading 5"/>
    <w:basedOn w:val="Normal"/>
    <w:next w:val="Normal"/>
    <w:link w:val="Heading5Char"/>
    <w:uiPriority w:val="9"/>
    <w:semiHidden/>
    <w:unhideWhenUsed/>
    <w:qFormat/>
    <w:rsid w:val="00215A06"/>
    <w:pPr>
      <w:tabs>
        <w:tab w:val="num" w:pos="3600"/>
      </w:tabs>
      <w:spacing w:before="240" w:after="60" w:line="240" w:lineRule="auto"/>
      <w:ind w:left="3600" w:hanging="720"/>
      <w:outlineLvl w:val="4"/>
    </w:pPr>
    <w:rPr>
      <w:rFonts w:eastAsiaTheme="minorEastAsia"/>
      <w:b/>
      <w:bCs/>
      <w:i/>
      <w:iCs/>
      <w:kern w:val="0"/>
      <w:sz w:val="26"/>
      <w:szCs w:val="26"/>
      <w:lang w:val="en-GB"/>
      <w14:ligatures w14:val="none"/>
    </w:rPr>
  </w:style>
  <w:style w:type="paragraph" w:styleId="Heading6">
    <w:name w:val="heading 6"/>
    <w:basedOn w:val="Normal"/>
    <w:next w:val="Normal"/>
    <w:link w:val="Heading6Char"/>
    <w:qFormat/>
    <w:rsid w:val="00215A06"/>
    <w:pPr>
      <w:tabs>
        <w:tab w:val="num" w:pos="4320"/>
      </w:tabs>
      <w:spacing w:before="240" w:after="60" w:line="240" w:lineRule="auto"/>
      <w:ind w:left="4320" w:hanging="720"/>
      <w:outlineLvl w:val="5"/>
    </w:pPr>
    <w:rPr>
      <w:rFonts w:ascii="Times New Roman" w:eastAsia="Times New Roman" w:hAnsi="Times New Roman" w:cs="Times New Roman"/>
      <w:b/>
      <w:bCs/>
      <w:kern w:val="0"/>
      <w:lang w:val="en-GB"/>
      <w14:ligatures w14:val="none"/>
    </w:rPr>
  </w:style>
  <w:style w:type="paragraph" w:styleId="Heading7">
    <w:name w:val="heading 7"/>
    <w:basedOn w:val="Normal"/>
    <w:next w:val="Normal"/>
    <w:link w:val="Heading7Char"/>
    <w:uiPriority w:val="9"/>
    <w:semiHidden/>
    <w:unhideWhenUsed/>
    <w:qFormat/>
    <w:rsid w:val="00215A06"/>
    <w:pPr>
      <w:tabs>
        <w:tab w:val="num" w:pos="5040"/>
      </w:tabs>
      <w:spacing w:before="240" w:after="60" w:line="240" w:lineRule="auto"/>
      <w:ind w:left="5040" w:hanging="720"/>
      <w:outlineLvl w:val="6"/>
    </w:pPr>
    <w:rPr>
      <w:rFonts w:eastAsiaTheme="minorEastAsia"/>
      <w:kern w:val="0"/>
      <w:sz w:val="24"/>
      <w:szCs w:val="24"/>
      <w:lang w:val="en-GB"/>
      <w14:ligatures w14:val="none"/>
    </w:rPr>
  </w:style>
  <w:style w:type="paragraph" w:styleId="Heading8">
    <w:name w:val="heading 8"/>
    <w:basedOn w:val="Normal"/>
    <w:next w:val="Normal"/>
    <w:link w:val="Heading8Char"/>
    <w:uiPriority w:val="9"/>
    <w:semiHidden/>
    <w:unhideWhenUsed/>
    <w:qFormat/>
    <w:rsid w:val="00215A06"/>
    <w:pPr>
      <w:tabs>
        <w:tab w:val="num" w:pos="5760"/>
      </w:tabs>
      <w:spacing w:before="240" w:after="60" w:line="240" w:lineRule="auto"/>
      <w:ind w:left="5760" w:hanging="720"/>
      <w:outlineLvl w:val="7"/>
    </w:pPr>
    <w:rPr>
      <w:rFonts w:eastAsiaTheme="minorEastAsia"/>
      <w:i/>
      <w:iCs/>
      <w:kern w:val="0"/>
      <w:sz w:val="24"/>
      <w:szCs w:val="24"/>
      <w:lang w:val="en-GB"/>
      <w14:ligatures w14:val="none"/>
    </w:rPr>
  </w:style>
  <w:style w:type="paragraph" w:styleId="Heading9">
    <w:name w:val="heading 9"/>
    <w:basedOn w:val="Normal"/>
    <w:next w:val="Normal"/>
    <w:link w:val="Heading9Char"/>
    <w:uiPriority w:val="9"/>
    <w:semiHidden/>
    <w:unhideWhenUsed/>
    <w:qFormat/>
    <w:rsid w:val="00215A06"/>
    <w:pPr>
      <w:tabs>
        <w:tab w:val="num" w:pos="6480"/>
      </w:tabs>
      <w:spacing w:before="240" w:after="60" w:line="240" w:lineRule="auto"/>
      <w:ind w:left="6480" w:hanging="720"/>
      <w:outlineLvl w:val="8"/>
    </w:pPr>
    <w:rPr>
      <w:rFonts w:asciiTheme="majorHAnsi" w:eastAsiaTheme="majorEastAsia" w:hAnsiTheme="majorHAnsi" w:cstheme="majorBidi"/>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E96"/>
    <w:pPr>
      <w:ind w:left="720"/>
      <w:contextualSpacing/>
    </w:pPr>
  </w:style>
  <w:style w:type="character" w:styleId="CommentReference">
    <w:name w:val="annotation reference"/>
    <w:basedOn w:val="DefaultParagraphFont"/>
    <w:uiPriority w:val="99"/>
    <w:semiHidden/>
    <w:unhideWhenUsed/>
    <w:rsid w:val="00EF4030"/>
    <w:rPr>
      <w:sz w:val="16"/>
      <w:szCs w:val="16"/>
    </w:rPr>
  </w:style>
  <w:style w:type="paragraph" w:styleId="CommentText">
    <w:name w:val="annotation text"/>
    <w:basedOn w:val="Normal"/>
    <w:link w:val="CommentTextChar"/>
    <w:uiPriority w:val="99"/>
    <w:unhideWhenUsed/>
    <w:rsid w:val="00EF4030"/>
    <w:pPr>
      <w:spacing w:line="240" w:lineRule="auto"/>
    </w:pPr>
    <w:rPr>
      <w:sz w:val="20"/>
      <w:szCs w:val="20"/>
    </w:rPr>
  </w:style>
  <w:style w:type="character" w:customStyle="1" w:styleId="CommentTextChar">
    <w:name w:val="Comment Text Char"/>
    <w:basedOn w:val="DefaultParagraphFont"/>
    <w:link w:val="CommentText"/>
    <w:uiPriority w:val="99"/>
    <w:rsid w:val="00EF4030"/>
    <w:rPr>
      <w:sz w:val="20"/>
      <w:szCs w:val="20"/>
    </w:rPr>
  </w:style>
  <w:style w:type="paragraph" w:styleId="CommentSubject">
    <w:name w:val="annotation subject"/>
    <w:basedOn w:val="CommentText"/>
    <w:next w:val="CommentText"/>
    <w:link w:val="CommentSubjectChar"/>
    <w:uiPriority w:val="99"/>
    <w:semiHidden/>
    <w:unhideWhenUsed/>
    <w:rsid w:val="00EF4030"/>
    <w:rPr>
      <w:b/>
      <w:bCs/>
    </w:rPr>
  </w:style>
  <w:style w:type="character" w:customStyle="1" w:styleId="CommentSubjectChar">
    <w:name w:val="Comment Subject Char"/>
    <w:basedOn w:val="CommentTextChar"/>
    <w:link w:val="CommentSubject"/>
    <w:uiPriority w:val="99"/>
    <w:semiHidden/>
    <w:rsid w:val="00EF4030"/>
    <w:rPr>
      <w:b/>
      <w:bCs/>
      <w:sz w:val="20"/>
      <w:szCs w:val="20"/>
    </w:rPr>
  </w:style>
  <w:style w:type="table" w:styleId="TableGrid">
    <w:name w:val="Table Grid"/>
    <w:basedOn w:val="TableNormal"/>
    <w:uiPriority w:val="59"/>
    <w:rsid w:val="002F2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F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1F9B"/>
  </w:style>
  <w:style w:type="paragraph" w:styleId="Footer">
    <w:name w:val="footer"/>
    <w:basedOn w:val="Normal"/>
    <w:link w:val="FooterChar"/>
    <w:uiPriority w:val="99"/>
    <w:unhideWhenUsed/>
    <w:rsid w:val="007A1F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1F9B"/>
  </w:style>
  <w:style w:type="paragraph" w:customStyle="1" w:styleId="Default">
    <w:name w:val="Default"/>
    <w:rsid w:val="008C3167"/>
    <w:pPr>
      <w:widowControl w:val="0"/>
      <w:autoSpaceDE w:val="0"/>
      <w:autoSpaceDN w:val="0"/>
      <w:adjustRightInd w:val="0"/>
      <w:spacing w:after="0" w:line="240" w:lineRule="auto"/>
    </w:pPr>
    <w:rPr>
      <w:rFonts w:ascii="Calibri" w:eastAsia="Times New Roman" w:hAnsi="Calibri" w:cs="Calibri"/>
      <w:color w:val="000000"/>
      <w:kern w:val="0"/>
      <w:sz w:val="24"/>
      <w:szCs w:val="24"/>
      <w:lang w:val="en-CA" w:eastAsia="en-CA"/>
      <w14:ligatures w14:val="none"/>
    </w:rPr>
  </w:style>
  <w:style w:type="paragraph" w:customStyle="1" w:styleId="CM1">
    <w:name w:val="CM1"/>
    <w:basedOn w:val="Default"/>
    <w:next w:val="Default"/>
    <w:rsid w:val="008C3167"/>
    <w:rPr>
      <w:rFonts w:cs="Times New Roman"/>
      <w:color w:val="auto"/>
    </w:rPr>
  </w:style>
  <w:style w:type="paragraph" w:styleId="PlainText">
    <w:name w:val="Plain Text"/>
    <w:basedOn w:val="Normal"/>
    <w:link w:val="PlainTextChar"/>
    <w:uiPriority w:val="99"/>
    <w:unhideWhenUsed/>
    <w:rsid w:val="007853F5"/>
    <w:pPr>
      <w:spacing w:after="0" w:line="240" w:lineRule="auto"/>
    </w:pPr>
    <w:rPr>
      <w:rFonts w:ascii="Calibri" w:hAnsi="Calibri" w:cs="Consolas"/>
      <w:kern w:val="0"/>
      <w:szCs w:val="21"/>
      <w:lang w:val="en-GB"/>
      <w14:ligatures w14:val="none"/>
    </w:rPr>
  </w:style>
  <w:style w:type="character" w:customStyle="1" w:styleId="PlainTextChar">
    <w:name w:val="Plain Text Char"/>
    <w:basedOn w:val="DefaultParagraphFont"/>
    <w:link w:val="PlainText"/>
    <w:uiPriority w:val="99"/>
    <w:rsid w:val="007853F5"/>
    <w:rPr>
      <w:rFonts w:ascii="Calibri" w:hAnsi="Calibri" w:cs="Consolas"/>
      <w:kern w:val="0"/>
      <w:szCs w:val="21"/>
      <w:lang w:val="en-GB"/>
      <w14:ligatures w14:val="none"/>
    </w:rPr>
  </w:style>
  <w:style w:type="character" w:styleId="Hyperlink">
    <w:name w:val="Hyperlink"/>
    <w:basedOn w:val="DefaultParagraphFont"/>
    <w:uiPriority w:val="99"/>
    <w:unhideWhenUsed/>
    <w:rsid w:val="007853F5"/>
    <w:rPr>
      <w:color w:val="0563C1" w:themeColor="hyperlink"/>
      <w:u w:val="single"/>
    </w:rPr>
  </w:style>
  <w:style w:type="character" w:customStyle="1" w:styleId="Heading1Char">
    <w:name w:val="Heading 1 Char"/>
    <w:basedOn w:val="DefaultParagraphFont"/>
    <w:link w:val="Heading1"/>
    <w:uiPriority w:val="9"/>
    <w:rsid w:val="009C3159"/>
    <w:rPr>
      <w:rFonts w:ascii="Times New Roman" w:eastAsia="Times New Roman" w:hAnsi="Times New Roman" w:cs="Times New Roman"/>
      <w:b/>
      <w:bCs/>
      <w:kern w:val="36"/>
      <w:sz w:val="48"/>
      <w:szCs w:val="48"/>
      <w:lang w:eastAsia="en-IE"/>
      <w14:ligatures w14:val="none"/>
    </w:rPr>
  </w:style>
  <w:style w:type="paragraph" w:styleId="NormalWeb">
    <w:name w:val="Normal (Web)"/>
    <w:basedOn w:val="Normal"/>
    <w:uiPriority w:val="99"/>
    <w:unhideWhenUsed/>
    <w:rsid w:val="009C3159"/>
    <w:pPr>
      <w:spacing w:before="100" w:beforeAutospacing="1" w:after="100" w:afterAutospacing="1" w:line="240" w:lineRule="auto"/>
    </w:pPr>
    <w:rPr>
      <w:rFonts w:ascii="Times New Roman" w:eastAsia="Times New Roman" w:hAnsi="Times New Roman" w:cs="Times New Roman"/>
      <w:kern w:val="0"/>
      <w:sz w:val="24"/>
      <w:szCs w:val="24"/>
      <w:lang w:eastAsia="en-IE"/>
      <w14:ligatures w14:val="none"/>
    </w:rPr>
  </w:style>
  <w:style w:type="character" w:customStyle="1" w:styleId="label">
    <w:name w:val="label"/>
    <w:basedOn w:val="DefaultParagraphFont"/>
    <w:rsid w:val="009C3159"/>
  </w:style>
  <w:style w:type="character" w:customStyle="1" w:styleId="al-author-delim">
    <w:name w:val="al-author-delim"/>
    <w:basedOn w:val="DefaultParagraphFont"/>
    <w:rsid w:val="0007047F"/>
  </w:style>
  <w:style w:type="character" w:customStyle="1" w:styleId="Subtitle1">
    <w:name w:val="Subtitle1"/>
    <w:basedOn w:val="DefaultParagraphFont"/>
    <w:rsid w:val="0007047F"/>
  </w:style>
  <w:style w:type="character" w:customStyle="1" w:styleId="colon-for-citation-subtitle">
    <w:name w:val="colon-for-citation-subtitle"/>
    <w:basedOn w:val="DefaultParagraphFont"/>
    <w:rsid w:val="0007047F"/>
  </w:style>
  <w:style w:type="character" w:styleId="Emphasis">
    <w:name w:val="Emphasis"/>
    <w:basedOn w:val="DefaultParagraphFont"/>
    <w:uiPriority w:val="20"/>
    <w:qFormat/>
    <w:rsid w:val="0007047F"/>
    <w:rPr>
      <w:i/>
      <w:iCs/>
    </w:rPr>
  </w:style>
  <w:style w:type="paragraph" w:styleId="Revision">
    <w:name w:val="Revision"/>
    <w:hidden/>
    <w:uiPriority w:val="99"/>
    <w:semiHidden/>
    <w:rsid w:val="00594B8D"/>
    <w:pPr>
      <w:spacing w:after="0" w:line="240" w:lineRule="auto"/>
    </w:pPr>
  </w:style>
  <w:style w:type="character" w:styleId="UnresolvedMention">
    <w:name w:val="Unresolved Mention"/>
    <w:basedOn w:val="DefaultParagraphFont"/>
    <w:uiPriority w:val="99"/>
    <w:semiHidden/>
    <w:unhideWhenUsed/>
    <w:rsid w:val="00B6678A"/>
    <w:rPr>
      <w:color w:val="605E5C"/>
      <w:shd w:val="clear" w:color="auto" w:fill="E1DFDD"/>
    </w:rPr>
  </w:style>
  <w:style w:type="table" w:customStyle="1" w:styleId="TableGrid1">
    <w:name w:val="Table Grid1"/>
    <w:basedOn w:val="TableNormal"/>
    <w:next w:val="TableGrid"/>
    <w:uiPriority w:val="59"/>
    <w:rsid w:val="00121380"/>
    <w:pPr>
      <w:spacing w:after="0" w:line="240" w:lineRule="auto"/>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215A06"/>
    <w:pPr>
      <w:spacing w:after="0" w:line="240" w:lineRule="auto"/>
    </w:pPr>
    <w:rPr>
      <w:rFonts w:eastAsiaTheme="minorEastAsia"/>
      <w:lang w:eastAsia="en-IE"/>
    </w:rPr>
    <w:tblPr>
      <w:tblCellMar>
        <w:top w:w="0" w:type="dxa"/>
        <w:left w:w="0" w:type="dxa"/>
        <w:bottom w:w="0" w:type="dxa"/>
        <w:right w:w="0" w:type="dxa"/>
      </w:tblCellMar>
    </w:tblPr>
  </w:style>
  <w:style w:type="character" w:customStyle="1" w:styleId="Heading2Char">
    <w:name w:val="Heading 2 Char"/>
    <w:basedOn w:val="DefaultParagraphFont"/>
    <w:link w:val="Heading2"/>
    <w:uiPriority w:val="9"/>
    <w:semiHidden/>
    <w:rsid w:val="00215A06"/>
    <w:rPr>
      <w:rFonts w:asciiTheme="majorHAnsi" w:eastAsiaTheme="majorEastAsia" w:hAnsiTheme="majorHAnsi" w:cstheme="majorBidi"/>
      <w:b/>
      <w:bCs/>
      <w:i/>
      <w:iCs/>
      <w:kern w:val="0"/>
      <w:sz w:val="28"/>
      <w:szCs w:val="28"/>
      <w:lang w:val="en-GB"/>
      <w14:ligatures w14:val="none"/>
    </w:rPr>
  </w:style>
  <w:style w:type="character" w:customStyle="1" w:styleId="Heading3Char">
    <w:name w:val="Heading 3 Char"/>
    <w:basedOn w:val="DefaultParagraphFont"/>
    <w:link w:val="Heading3"/>
    <w:uiPriority w:val="9"/>
    <w:semiHidden/>
    <w:rsid w:val="00215A06"/>
    <w:rPr>
      <w:rFonts w:asciiTheme="majorHAnsi" w:eastAsiaTheme="majorEastAsia" w:hAnsiTheme="majorHAnsi" w:cstheme="majorBidi"/>
      <w:b/>
      <w:bCs/>
      <w:kern w:val="0"/>
      <w:sz w:val="26"/>
      <w:szCs w:val="26"/>
      <w:lang w:val="en-GB"/>
      <w14:ligatures w14:val="none"/>
    </w:rPr>
  </w:style>
  <w:style w:type="character" w:customStyle="1" w:styleId="Heading4Char">
    <w:name w:val="Heading 4 Char"/>
    <w:basedOn w:val="DefaultParagraphFont"/>
    <w:link w:val="Heading4"/>
    <w:uiPriority w:val="9"/>
    <w:semiHidden/>
    <w:rsid w:val="00215A06"/>
    <w:rPr>
      <w:rFonts w:eastAsiaTheme="minorEastAsia"/>
      <w:b/>
      <w:bCs/>
      <w:kern w:val="0"/>
      <w:sz w:val="28"/>
      <w:szCs w:val="28"/>
      <w:lang w:val="en-GB"/>
      <w14:ligatures w14:val="none"/>
    </w:rPr>
  </w:style>
  <w:style w:type="character" w:customStyle="1" w:styleId="Heading5Char">
    <w:name w:val="Heading 5 Char"/>
    <w:basedOn w:val="DefaultParagraphFont"/>
    <w:link w:val="Heading5"/>
    <w:uiPriority w:val="9"/>
    <w:semiHidden/>
    <w:rsid w:val="00215A06"/>
    <w:rPr>
      <w:rFonts w:eastAsiaTheme="minorEastAsia"/>
      <w:b/>
      <w:bCs/>
      <w:i/>
      <w:iCs/>
      <w:kern w:val="0"/>
      <w:sz w:val="26"/>
      <w:szCs w:val="26"/>
      <w:lang w:val="en-GB"/>
      <w14:ligatures w14:val="none"/>
    </w:rPr>
  </w:style>
  <w:style w:type="character" w:customStyle="1" w:styleId="Heading6Char">
    <w:name w:val="Heading 6 Char"/>
    <w:basedOn w:val="DefaultParagraphFont"/>
    <w:link w:val="Heading6"/>
    <w:rsid w:val="00215A06"/>
    <w:rPr>
      <w:rFonts w:ascii="Times New Roman" w:eastAsia="Times New Roman" w:hAnsi="Times New Roman" w:cs="Times New Roman"/>
      <w:b/>
      <w:bCs/>
      <w:kern w:val="0"/>
      <w:lang w:val="en-GB"/>
      <w14:ligatures w14:val="none"/>
    </w:rPr>
  </w:style>
  <w:style w:type="character" w:customStyle="1" w:styleId="Heading7Char">
    <w:name w:val="Heading 7 Char"/>
    <w:basedOn w:val="DefaultParagraphFont"/>
    <w:link w:val="Heading7"/>
    <w:uiPriority w:val="9"/>
    <w:semiHidden/>
    <w:rsid w:val="00215A06"/>
    <w:rPr>
      <w:rFonts w:eastAsiaTheme="minorEastAsia"/>
      <w:kern w:val="0"/>
      <w:sz w:val="24"/>
      <w:szCs w:val="24"/>
      <w:lang w:val="en-GB"/>
      <w14:ligatures w14:val="none"/>
    </w:rPr>
  </w:style>
  <w:style w:type="character" w:customStyle="1" w:styleId="Heading8Char">
    <w:name w:val="Heading 8 Char"/>
    <w:basedOn w:val="DefaultParagraphFont"/>
    <w:link w:val="Heading8"/>
    <w:uiPriority w:val="9"/>
    <w:semiHidden/>
    <w:rsid w:val="00215A06"/>
    <w:rPr>
      <w:rFonts w:eastAsiaTheme="minorEastAsia"/>
      <w:i/>
      <w:iCs/>
      <w:kern w:val="0"/>
      <w:sz w:val="24"/>
      <w:szCs w:val="24"/>
      <w:lang w:val="en-GB"/>
      <w14:ligatures w14:val="none"/>
    </w:rPr>
  </w:style>
  <w:style w:type="character" w:customStyle="1" w:styleId="Heading9Char">
    <w:name w:val="Heading 9 Char"/>
    <w:basedOn w:val="DefaultParagraphFont"/>
    <w:link w:val="Heading9"/>
    <w:uiPriority w:val="9"/>
    <w:semiHidden/>
    <w:rsid w:val="00215A06"/>
    <w:rPr>
      <w:rFonts w:asciiTheme="majorHAnsi" w:eastAsiaTheme="majorEastAsia" w:hAnsiTheme="majorHAnsi" w:cstheme="majorBidi"/>
      <w:kern w:val="0"/>
      <w:lang w:val="en-GB"/>
      <w14:ligatures w14:val="none"/>
    </w:rPr>
  </w:style>
  <w:style w:type="paragraph" w:styleId="BalloonText">
    <w:name w:val="Balloon Text"/>
    <w:basedOn w:val="Normal"/>
    <w:link w:val="BalloonTextChar"/>
    <w:uiPriority w:val="99"/>
    <w:semiHidden/>
    <w:unhideWhenUsed/>
    <w:rsid w:val="00215A06"/>
    <w:pPr>
      <w:spacing w:after="0" w:line="240" w:lineRule="auto"/>
    </w:pPr>
    <w:rPr>
      <w:rFonts w:ascii="Segoe UI" w:eastAsia="Times New Roman" w:hAnsi="Segoe UI" w:cs="Segoe UI"/>
      <w:kern w:val="0"/>
      <w:sz w:val="18"/>
      <w:szCs w:val="18"/>
      <w:lang w:val="en-GB"/>
      <w14:ligatures w14:val="none"/>
    </w:rPr>
  </w:style>
  <w:style w:type="character" w:customStyle="1" w:styleId="BalloonTextChar">
    <w:name w:val="Balloon Text Char"/>
    <w:basedOn w:val="DefaultParagraphFont"/>
    <w:link w:val="BalloonText"/>
    <w:uiPriority w:val="99"/>
    <w:semiHidden/>
    <w:rsid w:val="00215A06"/>
    <w:rPr>
      <w:rFonts w:ascii="Segoe UI" w:eastAsia="Times New Roman" w:hAnsi="Segoe UI" w:cs="Segoe UI"/>
      <w:kern w:val="0"/>
      <w:sz w:val="18"/>
      <w:szCs w:val="18"/>
      <w:lang w:val="en-GB"/>
      <w14:ligatures w14:val="none"/>
    </w:rPr>
  </w:style>
  <w:style w:type="paragraph" w:customStyle="1" w:styleId="Comment">
    <w:name w:val="Comment"/>
    <w:basedOn w:val="CommentText"/>
    <w:link w:val="CommentChar"/>
    <w:qFormat/>
    <w:rsid w:val="00215A06"/>
    <w:pPr>
      <w:spacing w:after="0"/>
    </w:pPr>
    <w:rPr>
      <w:rFonts w:eastAsia="Times New Roman" w:cstheme="minorHAnsi"/>
      <w:kern w:val="0"/>
      <w:lang w:val="en-GB"/>
      <w14:ligatures w14:val="none"/>
    </w:rPr>
  </w:style>
  <w:style w:type="character" w:customStyle="1" w:styleId="CommentChar">
    <w:name w:val="Comment Char"/>
    <w:basedOn w:val="CommentTextChar"/>
    <w:link w:val="Comment"/>
    <w:rsid w:val="00215A06"/>
    <w:rPr>
      <w:rFonts w:eastAsia="Times New Roman" w:cstheme="minorHAnsi"/>
      <w:kern w:val="0"/>
      <w:sz w:val="20"/>
      <w:szCs w:val="20"/>
      <w:lang w:val="en-GB"/>
      <w14:ligatures w14:val="none"/>
    </w:rPr>
  </w:style>
  <w:style w:type="character" w:styleId="FollowedHyperlink">
    <w:name w:val="FollowedHyperlink"/>
    <w:basedOn w:val="DefaultParagraphFont"/>
    <w:uiPriority w:val="99"/>
    <w:semiHidden/>
    <w:unhideWhenUsed/>
    <w:rsid w:val="00215A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943207">
      <w:bodyDiv w:val="1"/>
      <w:marLeft w:val="0"/>
      <w:marRight w:val="0"/>
      <w:marTop w:val="0"/>
      <w:marBottom w:val="0"/>
      <w:divBdr>
        <w:top w:val="none" w:sz="0" w:space="0" w:color="auto"/>
        <w:left w:val="none" w:sz="0" w:space="0" w:color="auto"/>
        <w:bottom w:val="none" w:sz="0" w:space="0" w:color="auto"/>
        <w:right w:val="none" w:sz="0" w:space="0" w:color="auto"/>
      </w:divBdr>
    </w:div>
    <w:div w:id="860824620">
      <w:bodyDiv w:val="1"/>
      <w:marLeft w:val="0"/>
      <w:marRight w:val="0"/>
      <w:marTop w:val="0"/>
      <w:marBottom w:val="0"/>
      <w:divBdr>
        <w:top w:val="none" w:sz="0" w:space="0" w:color="auto"/>
        <w:left w:val="none" w:sz="0" w:space="0" w:color="auto"/>
        <w:bottom w:val="none" w:sz="0" w:space="0" w:color="auto"/>
        <w:right w:val="none" w:sz="0" w:space="0" w:color="auto"/>
      </w:divBdr>
    </w:div>
    <w:div w:id="1186285464">
      <w:bodyDiv w:val="1"/>
      <w:marLeft w:val="0"/>
      <w:marRight w:val="0"/>
      <w:marTop w:val="0"/>
      <w:marBottom w:val="0"/>
      <w:divBdr>
        <w:top w:val="none" w:sz="0" w:space="0" w:color="auto"/>
        <w:left w:val="none" w:sz="0" w:space="0" w:color="auto"/>
        <w:bottom w:val="none" w:sz="0" w:space="0" w:color="auto"/>
        <w:right w:val="none" w:sz="0" w:space="0" w:color="auto"/>
      </w:divBdr>
    </w:div>
    <w:div w:id="1649478853">
      <w:bodyDiv w:val="1"/>
      <w:marLeft w:val="0"/>
      <w:marRight w:val="0"/>
      <w:marTop w:val="0"/>
      <w:marBottom w:val="0"/>
      <w:divBdr>
        <w:top w:val="none" w:sz="0" w:space="0" w:color="auto"/>
        <w:left w:val="none" w:sz="0" w:space="0" w:color="auto"/>
        <w:bottom w:val="none" w:sz="0" w:space="0" w:color="auto"/>
        <w:right w:val="none" w:sz="0" w:space="0" w:color="auto"/>
      </w:divBdr>
    </w:div>
    <w:div w:id="1869827732">
      <w:bodyDiv w:val="1"/>
      <w:marLeft w:val="0"/>
      <w:marRight w:val="0"/>
      <w:marTop w:val="0"/>
      <w:marBottom w:val="0"/>
      <w:divBdr>
        <w:top w:val="none" w:sz="0" w:space="0" w:color="auto"/>
        <w:left w:val="none" w:sz="0" w:space="0" w:color="auto"/>
        <w:bottom w:val="none" w:sz="0" w:space="0" w:color="auto"/>
        <w:right w:val="none" w:sz="0" w:space="0" w:color="auto"/>
      </w:divBdr>
    </w:div>
    <w:div w:id="188193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raining.cochrane.org/handbook"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rd.york.ac.uk/prospero/display_record.php?ID=CRD42022301865"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89/fphar.2021.74870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trokeguideline.org"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A6C2D-1947-4AD4-8B54-CDEB7FAD9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18</Pages>
  <Words>6175</Words>
  <Characters>35199</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Shauna Bell</dc:creator>
  <cp:keywords/>
  <dc:description/>
  <cp:lastModifiedBy>Shauna Bell</cp:lastModifiedBy>
  <cp:revision>8</cp:revision>
  <dcterms:created xsi:type="dcterms:W3CDTF">2023-10-22T19:30:00Z</dcterms:created>
  <dcterms:modified xsi:type="dcterms:W3CDTF">2023-11-01T14:49:00Z</dcterms:modified>
</cp:coreProperties>
</file>